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8B107" w14:textId="77777777" w:rsidR="00763204" w:rsidRDefault="00763204" w:rsidP="00195993">
      <w:pPr>
        <w:spacing w:after="0" w:line="240" w:lineRule="auto"/>
        <w:rPr>
          <w:rFonts w:ascii="Segoe UI" w:hAnsi="Segoe UI" w:cs="Segoe UI"/>
          <w:b/>
          <w:sz w:val="20"/>
          <w:szCs w:val="16"/>
        </w:rPr>
      </w:pPr>
    </w:p>
    <w:p w14:paraId="327DEAEE" w14:textId="181FC289" w:rsidR="006265AB" w:rsidRPr="006B27FF" w:rsidRDefault="00195993" w:rsidP="00195993">
      <w:pPr>
        <w:spacing w:after="0" w:line="240" w:lineRule="auto"/>
        <w:rPr>
          <w:rFonts w:ascii="Segoe UI" w:hAnsi="Segoe UI" w:cs="Segoe UI"/>
          <w:b/>
          <w:sz w:val="20"/>
          <w:szCs w:val="16"/>
        </w:rPr>
      </w:pPr>
      <w:r w:rsidRPr="00195993">
        <w:rPr>
          <w:rFonts w:ascii="Segoe UI" w:hAnsi="Segoe UI" w:cs="Segoe UI"/>
          <w:b/>
          <w:sz w:val="20"/>
          <w:szCs w:val="16"/>
        </w:rPr>
        <w:t xml:space="preserve">Corrigendum: </w:t>
      </w:r>
      <w:r w:rsidR="00AA6D92" w:rsidRPr="009D2E5F">
        <w:rPr>
          <w:rFonts w:ascii="Segoe UI" w:hAnsi="Segoe UI" w:cs="Segoe UI"/>
          <w:b/>
          <w:sz w:val="20"/>
          <w:szCs w:val="16"/>
        </w:rPr>
        <w:t>Electricity Grids and Secure Energy Transitions</w:t>
      </w:r>
    </w:p>
    <w:p w14:paraId="23AA7E6F" w14:textId="4F8F79F4" w:rsidR="00195993" w:rsidRDefault="00195993" w:rsidP="00195993">
      <w:pPr>
        <w:spacing w:after="0" w:line="240" w:lineRule="auto"/>
        <w:rPr>
          <w:rFonts w:ascii="Segoe UI" w:hAnsi="Segoe UI" w:cs="Segoe UI"/>
          <w:b/>
          <w:sz w:val="20"/>
          <w:szCs w:val="16"/>
        </w:rPr>
      </w:pPr>
      <w:r>
        <w:rPr>
          <w:rFonts w:ascii="Segoe UI" w:hAnsi="Segoe UI" w:cs="Segoe UI"/>
          <w:b/>
          <w:sz w:val="20"/>
          <w:szCs w:val="16"/>
        </w:rPr>
        <w:t xml:space="preserve">Issued: </w:t>
      </w:r>
      <w:r w:rsidR="001F3456">
        <w:rPr>
          <w:rFonts w:ascii="Segoe UI" w:hAnsi="Segoe UI" w:cs="Segoe UI"/>
          <w:bCs/>
          <w:sz w:val="20"/>
          <w:szCs w:val="16"/>
        </w:rPr>
        <w:t>9 November</w:t>
      </w:r>
      <w:r w:rsidR="00AA6D92">
        <w:rPr>
          <w:rFonts w:ascii="Segoe UI" w:hAnsi="Segoe UI" w:cs="Segoe UI"/>
          <w:sz w:val="20"/>
          <w:szCs w:val="16"/>
        </w:rPr>
        <w:t xml:space="preserve"> 2023</w:t>
      </w:r>
    </w:p>
    <w:p w14:paraId="5EC13739" w14:textId="6C675790" w:rsidR="00195993" w:rsidRDefault="00195993" w:rsidP="006265AB">
      <w:pPr>
        <w:spacing w:after="0" w:line="240" w:lineRule="auto"/>
      </w:pPr>
      <w:r>
        <w:rPr>
          <w:rFonts w:ascii="Segoe UI" w:hAnsi="Segoe UI" w:cs="Segoe UI"/>
          <w:b/>
          <w:sz w:val="20"/>
          <w:szCs w:val="16"/>
        </w:rPr>
        <w:t xml:space="preserve">Link to report: </w:t>
      </w:r>
      <w:hyperlink r:id="rId11" w:history="1">
        <w:r w:rsidR="00AA6D92" w:rsidRPr="00600297">
          <w:rPr>
            <w:rStyle w:val="Hyperlink"/>
          </w:rPr>
          <w:t>https://www.iea.org/reports/electricity-grids-and-secure-energy-transitions</w:t>
        </w:r>
      </w:hyperlink>
    </w:p>
    <w:p w14:paraId="357069D0" w14:textId="77777777" w:rsidR="006265AB" w:rsidRDefault="006265AB" w:rsidP="006265AB">
      <w:pPr>
        <w:spacing w:after="0" w:line="240" w:lineRule="auto"/>
        <w:rPr>
          <w:rFonts w:ascii="Segoe UI" w:hAnsi="Segoe UI" w:cs="Segoe UI"/>
          <w:sz w:val="16"/>
          <w:szCs w:val="16"/>
        </w:rPr>
      </w:pPr>
    </w:p>
    <w:p w14:paraId="34981DD1" w14:textId="77777777" w:rsidR="00195993" w:rsidRDefault="00195993" w:rsidP="00195993">
      <w:pPr>
        <w:spacing w:after="0" w:line="240" w:lineRule="auto"/>
        <w:rPr>
          <w:rFonts w:ascii="Segoe UI" w:hAnsi="Segoe UI" w:cs="Segoe UI"/>
          <w:sz w:val="16"/>
          <w:szCs w:val="16"/>
        </w:rPr>
      </w:pPr>
    </w:p>
    <w:p w14:paraId="30CF06D1" w14:textId="5841A7EF" w:rsidR="00AA6D92" w:rsidRPr="00E47195" w:rsidRDefault="00195993" w:rsidP="00E47195">
      <w:pPr>
        <w:pStyle w:val="ListParagraph"/>
        <w:numPr>
          <w:ilvl w:val="0"/>
          <w:numId w:val="3"/>
        </w:numPr>
        <w:spacing w:after="0" w:line="240" w:lineRule="auto"/>
        <w:ind w:left="284" w:hanging="284"/>
        <w:rPr>
          <w:rFonts w:cs="Calibri"/>
        </w:rPr>
      </w:pPr>
      <w:r w:rsidRPr="00E47195">
        <w:rPr>
          <w:rFonts w:cs="Calibri"/>
        </w:rPr>
        <w:t xml:space="preserve">On </w:t>
      </w:r>
      <w:r w:rsidRPr="00E47195">
        <w:rPr>
          <w:rFonts w:cs="Calibri"/>
          <w:b/>
          <w:bCs/>
        </w:rPr>
        <w:t xml:space="preserve">page </w:t>
      </w:r>
      <w:r w:rsidR="00AA6D92" w:rsidRPr="00E47195">
        <w:rPr>
          <w:rFonts w:cs="Calibri"/>
          <w:b/>
          <w:bCs/>
        </w:rPr>
        <w:t>2</w:t>
      </w:r>
      <w:r w:rsidR="006265AB" w:rsidRPr="00E47195">
        <w:rPr>
          <w:rFonts w:cs="Calibri"/>
        </w:rPr>
        <w:t xml:space="preserve">, </w:t>
      </w:r>
      <w:r w:rsidR="00AA6D92" w:rsidRPr="00E47195">
        <w:rPr>
          <w:rFonts w:cs="Calibri"/>
        </w:rPr>
        <w:t xml:space="preserve">add text </w:t>
      </w:r>
      <w:r w:rsidR="001F3456" w:rsidRPr="00E47195">
        <w:rPr>
          <w:rFonts w:cs="Calibri"/>
        </w:rPr>
        <w:t>the name in red</w:t>
      </w:r>
      <w:r w:rsidR="00AA6D92" w:rsidRPr="00E47195">
        <w:rPr>
          <w:rFonts w:cs="Calibri"/>
        </w:rPr>
        <w:t xml:space="preserve"> </w:t>
      </w:r>
      <w:r w:rsidR="001F3456" w:rsidRPr="00E47195">
        <w:rPr>
          <w:rFonts w:cs="Calibri"/>
        </w:rPr>
        <w:t xml:space="preserve">was added: </w:t>
      </w:r>
    </w:p>
    <w:p w14:paraId="03172B00" w14:textId="7784DF2E" w:rsidR="00AA6D92" w:rsidRDefault="00AA6D92" w:rsidP="00E47195">
      <w:pPr>
        <w:spacing w:before="100" w:beforeAutospacing="1" w:after="100" w:afterAutospacing="1" w:line="240" w:lineRule="auto"/>
        <w:jc w:val="both"/>
        <w:rPr>
          <w:rFonts w:eastAsia="Times New Roman"/>
        </w:rPr>
      </w:pPr>
      <w:r>
        <w:rPr>
          <w:rFonts w:eastAsia="Times New Roman"/>
        </w:rPr>
        <w:t xml:space="preserve">Other contributions from across the agency were from: Heymi </w:t>
      </w:r>
      <w:proofErr w:type="spellStart"/>
      <w:r>
        <w:rPr>
          <w:rFonts w:eastAsia="Times New Roman"/>
        </w:rPr>
        <w:t>Bahar</w:t>
      </w:r>
      <w:proofErr w:type="spellEnd"/>
      <w:r>
        <w:rPr>
          <w:rFonts w:eastAsia="Times New Roman"/>
        </w:rPr>
        <w:t xml:space="preserve"> (connection queues and curtailment), </w:t>
      </w:r>
      <w:r>
        <w:rPr>
          <w:rFonts w:eastAsia="Times New Roman"/>
          <w:color w:val="FF0000"/>
        </w:rPr>
        <w:t>Daniel Crow</w:t>
      </w:r>
      <w:r>
        <w:rPr>
          <w:rFonts w:eastAsia="Times New Roman"/>
        </w:rPr>
        <w:t xml:space="preserve">, Minna Genser (cyber security), Julia Guyon (electricity demand and electric vehicles), Katsuki Ishimaki (cyber security), John Moloney (outages), Yu </w:t>
      </w:r>
      <w:proofErr w:type="spellStart"/>
      <w:r>
        <w:rPr>
          <w:rFonts w:eastAsia="Times New Roman"/>
        </w:rPr>
        <w:t>Nagatomi</w:t>
      </w:r>
      <w:proofErr w:type="spellEnd"/>
      <w:r>
        <w:rPr>
          <w:rFonts w:eastAsia="Times New Roman"/>
        </w:rPr>
        <w:t xml:space="preserve"> (planning and investment policies), Camille Paillard (public acceptance and permitting), Uwe </w:t>
      </w:r>
      <w:proofErr w:type="spellStart"/>
      <w:r>
        <w:rPr>
          <w:rFonts w:eastAsia="Times New Roman"/>
        </w:rPr>
        <w:t>Remme</w:t>
      </w:r>
      <w:proofErr w:type="spellEnd"/>
      <w:r>
        <w:rPr>
          <w:rFonts w:eastAsia="Times New Roman"/>
        </w:rPr>
        <w:t xml:space="preserve"> (supply chains) and Daniel Wetzel (employment).</w:t>
      </w:r>
    </w:p>
    <w:p w14:paraId="63DBB99F" w14:textId="0927756C" w:rsidR="00AA6D92" w:rsidRPr="00E47195" w:rsidRDefault="00AA6D92" w:rsidP="00E47195">
      <w:pPr>
        <w:pStyle w:val="ListParagraph"/>
        <w:numPr>
          <w:ilvl w:val="0"/>
          <w:numId w:val="3"/>
        </w:numPr>
        <w:spacing w:after="0" w:line="240" w:lineRule="auto"/>
        <w:ind w:left="284" w:hanging="284"/>
        <w:rPr>
          <w:rFonts w:asciiTheme="minorHAnsi" w:hAnsiTheme="minorHAnsi" w:cstheme="minorHAnsi"/>
        </w:rPr>
      </w:pPr>
      <w:r w:rsidRPr="00E47195">
        <w:rPr>
          <w:rFonts w:asciiTheme="minorHAnsi" w:hAnsiTheme="minorHAnsi" w:cstheme="minorHAnsi"/>
        </w:rPr>
        <w:t xml:space="preserve">On </w:t>
      </w:r>
      <w:r w:rsidRPr="00E47195">
        <w:rPr>
          <w:rFonts w:asciiTheme="minorHAnsi" w:hAnsiTheme="minorHAnsi" w:cstheme="minorHAnsi"/>
          <w:b/>
          <w:bCs/>
        </w:rPr>
        <w:t>page 3</w:t>
      </w:r>
      <w:r w:rsidRPr="00E47195">
        <w:rPr>
          <w:rFonts w:asciiTheme="minorHAnsi" w:hAnsiTheme="minorHAnsi" w:cstheme="minorHAnsi"/>
        </w:rPr>
        <w:t xml:space="preserve">, </w:t>
      </w:r>
      <w:r w:rsidR="00BE255A" w:rsidRPr="00E47195">
        <w:rPr>
          <w:rFonts w:asciiTheme="minorHAnsi" w:hAnsiTheme="minorHAnsi" w:cstheme="minorHAnsi"/>
        </w:rPr>
        <w:t xml:space="preserve"> </w:t>
      </w:r>
      <w:r w:rsidR="00BE255A" w:rsidRPr="00E47195">
        <w:rPr>
          <w:rFonts w:asciiTheme="minorHAnsi" w:hAnsiTheme="minorHAnsi" w:cstheme="minorHAnsi"/>
          <w:b/>
          <w:bCs/>
        </w:rPr>
        <w:t xml:space="preserve">replaced </w:t>
      </w:r>
      <w:r w:rsidR="001F3456" w:rsidRPr="00E47195">
        <w:rPr>
          <w:rFonts w:asciiTheme="minorHAnsi" w:hAnsiTheme="minorHAnsi" w:cstheme="minorHAnsi"/>
        </w:rPr>
        <w:t xml:space="preserve">the </w:t>
      </w:r>
      <w:r w:rsidR="00BE255A" w:rsidRPr="00E47195">
        <w:rPr>
          <w:rFonts w:asciiTheme="minorHAnsi" w:hAnsiTheme="minorHAnsi" w:cstheme="minorHAnsi"/>
        </w:rPr>
        <w:t>following sentence:</w:t>
      </w:r>
    </w:p>
    <w:p w14:paraId="5436649A" w14:textId="77777777" w:rsidR="00BE255A" w:rsidRDefault="00BE255A" w:rsidP="00BE255A">
      <w:pPr>
        <w:spacing w:after="0" w:line="240" w:lineRule="auto"/>
        <w:rPr>
          <w:rFonts w:ascii="Segoe UI" w:hAnsi="Segoe UI" w:cs="Segoe UI"/>
          <w:sz w:val="16"/>
          <w:szCs w:val="16"/>
        </w:rPr>
      </w:pPr>
      <w:r>
        <w:rPr>
          <w:rFonts w:eastAsia="Times New Roman"/>
        </w:rPr>
        <w:t xml:space="preserve">Valuable input to the analysis was provided by: </w:t>
      </w:r>
      <w:r w:rsidRPr="00BE255A">
        <w:rPr>
          <w:rFonts w:eastAsia="Times New Roman"/>
        </w:rPr>
        <w:t xml:space="preserve">Daniel Crow </w:t>
      </w:r>
      <w:r>
        <w:rPr>
          <w:rFonts w:eastAsia="Times New Roman"/>
        </w:rPr>
        <w:t>(independent consultant).</w:t>
      </w:r>
    </w:p>
    <w:p w14:paraId="2DA6DC70" w14:textId="77777777" w:rsidR="00BE255A" w:rsidRDefault="00BE255A" w:rsidP="00BE255A">
      <w:pPr>
        <w:spacing w:after="0" w:line="240" w:lineRule="auto"/>
        <w:rPr>
          <w:rFonts w:eastAsia="Times New Roman"/>
          <w:b/>
          <w:bCs/>
        </w:rPr>
      </w:pPr>
    </w:p>
    <w:p w14:paraId="0A4FC174" w14:textId="7B68B15C" w:rsidR="00AA6D92" w:rsidRPr="00BE255A" w:rsidRDefault="00BE255A" w:rsidP="00BE255A">
      <w:pPr>
        <w:spacing w:after="0" w:line="240" w:lineRule="auto"/>
        <w:rPr>
          <w:rFonts w:ascii="Segoe UI" w:hAnsi="Segoe UI" w:cs="Segoe UI"/>
          <w:sz w:val="16"/>
          <w:szCs w:val="16"/>
        </w:rPr>
      </w:pPr>
      <w:r>
        <w:rPr>
          <w:rFonts w:eastAsia="Times New Roman"/>
          <w:b/>
          <w:bCs/>
        </w:rPr>
        <w:t>W</w:t>
      </w:r>
      <w:r w:rsidRPr="00BE255A">
        <w:rPr>
          <w:rFonts w:eastAsia="Times New Roman"/>
          <w:b/>
          <w:bCs/>
        </w:rPr>
        <w:t>ith</w:t>
      </w:r>
      <w:r>
        <w:rPr>
          <w:rFonts w:eastAsia="Times New Roman"/>
          <w:b/>
          <w:bCs/>
        </w:rPr>
        <w:t>:</w:t>
      </w:r>
    </w:p>
    <w:p w14:paraId="7DD1C22E" w14:textId="42A1358F" w:rsidR="00BE255A" w:rsidRDefault="00BE255A" w:rsidP="00AA6D92">
      <w:pPr>
        <w:spacing w:before="100" w:beforeAutospacing="1" w:after="100" w:afterAutospacing="1" w:line="240" w:lineRule="auto"/>
        <w:rPr>
          <w:rFonts w:eastAsia="Times New Roman"/>
        </w:rPr>
      </w:pPr>
      <w:r>
        <w:rPr>
          <w:rFonts w:eastAsia="Times New Roman"/>
        </w:rPr>
        <w:t xml:space="preserve">Valuable input to the analysis was provided by: </w:t>
      </w:r>
      <w:r w:rsidRPr="00BE255A">
        <w:rPr>
          <w:rFonts w:eastAsia="Times New Roman"/>
          <w:b/>
          <w:bCs/>
        </w:rPr>
        <w:t>David Wilkinson</w:t>
      </w:r>
      <w:r w:rsidRPr="00BE255A">
        <w:rPr>
          <w:rFonts w:eastAsia="Times New Roman"/>
        </w:rPr>
        <w:t xml:space="preserve"> </w:t>
      </w:r>
      <w:r>
        <w:rPr>
          <w:rFonts w:eastAsia="Times New Roman"/>
        </w:rPr>
        <w:t>(independent consultant).</w:t>
      </w:r>
    </w:p>
    <w:p w14:paraId="5AAFDDF2" w14:textId="5FDC9988" w:rsidR="00BE255A" w:rsidRPr="00E47195" w:rsidRDefault="00AA6D92" w:rsidP="00E47195">
      <w:pPr>
        <w:pStyle w:val="ListParagraph"/>
        <w:numPr>
          <w:ilvl w:val="0"/>
          <w:numId w:val="3"/>
        </w:numPr>
        <w:spacing w:after="0" w:line="240" w:lineRule="auto"/>
        <w:ind w:left="284" w:hanging="284"/>
        <w:rPr>
          <w:rFonts w:asciiTheme="minorHAnsi" w:hAnsiTheme="minorHAnsi" w:cstheme="minorHAnsi"/>
        </w:rPr>
      </w:pPr>
      <w:bookmarkStart w:id="0" w:name="_Hlk150436885"/>
      <w:r w:rsidRPr="00E47195">
        <w:rPr>
          <w:rFonts w:asciiTheme="minorHAnsi" w:hAnsiTheme="minorHAnsi" w:cstheme="minorHAnsi"/>
        </w:rPr>
        <w:t xml:space="preserve">On </w:t>
      </w:r>
      <w:r w:rsidRPr="00E47195">
        <w:rPr>
          <w:rFonts w:asciiTheme="minorHAnsi" w:hAnsiTheme="minorHAnsi" w:cstheme="minorHAnsi"/>
          <w:b/>
          <w:bCs/>
        </w:rPr>
        <w:t>page</w:t>
      </w:r>
      <w:r w:rsidR="00E47195" w:rsidRPr="00E47195">
        <w:rPr>
          <w:rFonts w:asciiTheme="minorHAnsi" w:hAnsiTheme="minorHAnsi" w:cstheme="minorHAnsi"/>
          <w:b/>
          <w:bCs/>
        </w:rPr>
        <w:t xml:space="preserve"> </w:t>
      </w:r>
      <w:r w:rsidR="00763204">
        <w:rPr>
          <w:rFonts w:asciiTheme="minorHAnsi" w:hAnsiTheme="minorHAnsi" w:cstheme="minorHAnsi"/>
          <w:b/>
          <w:bCs/>
        </w:rPr>
        <w:t>8</w:t>
      </w:r>
      <w:r w:rsidRPr="00E47195">
        <w:rPr>
          <w:rFonts w:asciiTheme="minorHAnsi" w:hAnsiTheme="minorHAnsi" w:cstheme="minorHAnsi"/>
          <w:b/>
          <w:bCs/>
        </w:rPr>
        <w:t>9</w:t>
      </w:r>
      <w:r w:rsidRPr="00E47195">
        <w:rPr>
          <w:rFonts w:asciiTheme="minorHAnsi" w:hAnsiTheme="minorHAnsi" w:cstheme="minorHAnsi"/>
        </w:rPr>
        <w:t xml:space="preserve">, </w:t>
      </w:r>
      <w:r w:rsidR="00E47195" w:rsidRPr="00E47195">
        <w:rPr>
          <w:rFonts w:asciiTheme="minorHAnsi" w:hAnsiTheme="minorHAnsi" w:cstheme="minorHAnsi"/>
        </w:rPr>
        <w:t xml:space="preserve">the </w:t>
      </w:r>
      <w:r w:rsidR="00BE255A" w:rsidRPr="00E47195">
        <w:rPr>
          <w:rFonts w:asciiTheme="minorHAnsi" w:hAnsiTheme="minorHAnsi" w:cstheme="minorHAnsi"/>
        </w:rPr>
        <w:t xml:space="preserve">incorrect unit of measure was changed </w:t>
      </w:r>
      <w:r w:rsidR="00E47195" w:rsidRPr="00E47195">
        <w:rPr>
          <w:rFonts w:asciiTheme="minorHAnsi" w:hAnsiTheme="minorHAnsi" w:cstheme="minorHAnsi"/>
        </w:rPr>
        <w:t xml:space="preserve">from GW to TW </w:t>
      </w:r>
      <w:r w:rsidR="00BE255A" w:rsidRPr="00E47195">
        <w:rPr>
          <w:rFonts w:asciiTheme="minorHAnsi" w:hAnsiTheme="minorHAnsi" w:cstheme="minorHAnsi"/>
        </w:rPr>
        <w:t xml:space="preserve">in the </w:t>
      </w:r>
      <w:r w:rsidR="00E47195" w:rsidRPr="00E47195">
        <w:rPr>
          <w:rFonts w:asciiTheme="minorHAnsi" w:hAnsiTheme="minorHAnsi" w:cstheme="minorHAnsi"/>
        </w:rPr>
        <w:t>last paragraph</w:t>
      </w:r>
      <w:r w:rsidR="00E47195">
        <w:rPr>
          <w:rFonts w:asciiTheme="minorHAnsi" w:hAnsiTheme="minorHAnsi" w:cstheme="minorHAnsi"/>
        </w:rPr>
        <w:t>:</w:t>
      </w:r>
      <w:r w:rsidR="00E47195" w:rsidRPr="00E47195">
        <w:rPr>
          <w:rFonts w:asciiTheme="minorHAnsi" w:hAnsiTheme="minorHAnsi" w:cstheme="minorHAnsi"/>
        </w:rPr>
        <w:t xml:space="preserve"> </w:t>
      </w:r>
    </w:p>
    <w:bookmarkEnd w:id="0"/>
    <w:p w14:paraId="7C490BB9" w14:textId="77777777" w:rsidR="00E47195" w:rsidRDefault="00E47195" w:rsidP="00BE255A">
      <w:pPr>
        <w:spacing w:after="0" w:line="240" w:lineRule="auto"/>
        <w:rPr>
          <w:rFonts w:asciiTheme="minorHAnsi" w:hAnsiTheme="minorHAnsi" w:cstheme="minorHAnsi"/>
        </w:rPr>
      </w:pPr>
    </w:p>
    <w:p w14:paraId="36649A9A" w14:textId="77777777" w:rsidR="00E47195" w:rsidRDefault="00E47195" w:rsidP="00E47195">
      <w:pPr>
        <w:pStyle w:val="IEABodyText"/>
        <w:ind w:left="0"/>
      </w:pPr>
      <w:bookmarkStart w:id="1" w:name="_Hlk150436784"/>
      <w:r w:rsidRPr="006F47A7">
        <w:t xml:space="preserve">Over the ten years to 2021 the rate of additions and replacements was </w:t>
      </w:r>
      <w:r w:rsidRPr="00E47195">
        <w:rPr>
          <w:b/>
          <w:bCs/>
        </w:rPr>
        <w:t>2.4 GW</w:t>
      </w:r>
      <w:r w:rsidRPr="006F47A7">
        <w:t xml:space="preserve"> per year. Between 2022 and 2030 it increases to </w:t>
      </w:r>
      <w:r w:rsidRPr="00E47195">
        <w:rPr>
          <w:b/>
          <w:bCs/>
        </w:rPr>
        <w:t>3.5 GW</w:t>
      </w:r>
      <w:r w:rsidRPr="006F47A7">
        <w:t xml:space="preserve"> per year, requiring a significant uplift in activity. Subsequently, from 2031 to 2040, annual additions rise further to </w:t>
      </w:r>
      <w:r w:rsidRPr="00E47195">
        <w:rPr>
          <w:b/>
          <w:bCs/>
        </w:rPr>
        <w:t>4.5 GW</w:t>
      </w:r>
      <w:r w:rsidRPr="006F47A7">
        <w:t xml:space="preserve"> per year where they stabilise till 2050, reflecting a consistent level of growth in the power transformer industry.</w:t>
      </w:r>
      <w:r>
        <w:t xml:space="preserve"> In all years, emerging market and developing economies account for </w:t>
      </w:r>
      <w:proofErr w:type="gramStart"/>
      <w:r>
        <w:t>the majority of</w:t>
      </w:r>
      <w:proofErr w:type="gramEnd"/>
      <w:r>
        <w:t xml:space="preserve"> new transformers.</w:t>
      </w:r>
    </w:p>
    <w:bookmarkEnd w:id="1"/>
    <w:p w14:paraId="0FFD10D3" w14:textId="67A64E18" w:rsidR="00E47195" w:rsidRDefault="00E47195" w:rsidP="00E47195">
      <w:pPr>
        <w:pStyle w:val="IEABodyText"/>
        <w:ind w:left="0"/>
        <w:rPr>
          <w:b/>
          <w:bCs/>
        </w:rPr>
      </w:pPr>
      <w:r w:rsidRPr="00E47195">
        <w:rPr>
          <w:b/>
          <w:bCs/>
        </w:rPr>
        <w:t xml:space="preserve">Replaced with </w:t>
      </w:r>
    </w:p>
    <w:p w14:paraId="24AC0066" w14:textId="51DB3ED9" w:rsidR="00E47195" w:rsidRDefault="00E47195" w:rsidP="00E47195">
      <w:pPr>
        <w:pStyle w:val="IEABodyText"/>
        <w:ind w:left="0"/>
      </w:pPr>
      <w:r w:rsidRPr="006F47A7">
        <w:t xml:space="preserve">Over the ten years to 2021 the rate of additions and replacements was </w:t>
      </w:r>
      <w:r w:rsidRPr="00E47195">
        <w:rPr>
          <w:b/>
          <w:bCs/>
        </w:rPr>
        <w:t>2.4 </w:t>
      </w:r>
      <w:r>
        <w:rPr>
          <w:b/>
          <w:bCs/>
        </w:rPr>
        <w:t>T</w:t>
      </w:r>
      <w:r w:rsidRPr="00E47195">
        <w:rPr>
          <w:b/>
          <w:bCs/>
        </w:rPr>
        <w:t>W</w:t>
      </w:r>
      <w:r w:rsidRPr="006F47A7">
        <w:t xml:space="preserve"> per year. Between 2022 and 2030 it increases to </w:t>
      </w:r>
      <w:r w:rsidRPr="00E47195">
        <w:rPr>
          <w:b/>
          <w:bCs/>
        </w:rPr>
        <w:t>3.5 </w:t>
      </w:r>
      <w:r>
        <w:rPr>
          <w:b/>
          <w:bCs/>
        </w:rPr>
        <w:t>T</w:t>
      </w:r>
      <w:r w:rsidRPr="00E47195">
        <w:rPr>
          <w:b/>
          <w:bCs/>
        </w:rPr>
        <w:t>W</w:t>
      </w:r>
      <w:r w:rsidRPr="006F47A7">
        <w:t xml:space="preserve"> per year, requiring a significant uplift in activity. Subsequently, from 2031 to 2040, annual additions rise further to </w:t>
      </w:r>
      <w:r w:rsidRPr="00E47195">
        <w:rPr>
          <w:b/>
          <w:bCs/>
        </w:rPr>
        <w:t>4.5 </w:t>
      </w:r>
      <w:r>
        <w:rPr>
          <w:b/>
          <w:bCs/>
        </w:rPr>
        <w:t>T</w:t>
      </w:r>
      <w:r w:rsidRPr="00E47195">
        <w:rPr>
          <w:b/>
          <w:bCs/>
        </w:rPr>
        <w:t>W</w:t>
      </w:r>
      <w:r w:rsidRPr="006F47A7">
        <w:t xml:space="preserve"> per year where they stabilise till 2050, reflecting a consistent level of growth in the power transformer industry.</w:t>
      </w:r>
      <w:r>
        <w:t xml:space="preserve"> In all years, emerging market and developing economies account for </w:t>
      </w:r>
      <w:proofErr w:type="gramStart"/>
      <w:r>
        <w:t>the majority of</w:t>
      </w:r>
      <w:proofErr w:type="gramEnd"/>
      <w:r>
        <w:t xml:space="preserve"> new transformers.</w:t>
      </w:r>
    </w:p>
    <w:p w14:paraId="6C535836" w14:textId="77777777" w:rsidR="00E47195" w:rsidRDefault="00E47195" w:rsidP="00E47195">
      <w:pPr>
        <w:pStyle w:val="IEABodyText"/>
        <w:ind w:left="0"/>
        <w:rPr>
          <w:b/>
          <w:bCs/>
        </w:rPr>
      </w:pPr>
    </w:p>
    <w:p w14:paraId="23374270" w14:textId="77777777" w:rsidR="00763204" w:rsidRDefault="00763204" w:rsidP="00E47195">
      <w:pPr>
        <w:pStyle w:val="IEABodyText"/>
        <w:ind w:left="0"/>
        <w:rPr>
          <w:b/>
          <w:bCs/>
        </w:rPr>
      </w:pPr>
    </w:p>
    <w:p w14:paraId="06A12BAC" w14:textId="77777777" w:rsidR="00763204" w:rsidRDefault="00763204" w:rsidP="00E47195">
      <w:pPr>
        <w:pStyle w:val="IEABodyText"/>
        <w:ind w:left="0"/>
        <w:rPr>
          <w:b/>
          <w:bCs/>
        </w:rPr>
      </w:pPr>
    </w:p>
    <w:p w14:paraId="76375258" w14:textId="77777777" w:rsidR="00763204" w:rsidRPr="00E47195" w:rsidRDefault="00763204" w:rsidP="00E47195">
      <w:pPr>
        <w:pStyle w:val="IEABodyText"/>
        <w:ind w:left="0"/>
        <w:rPr>
          <w:b/>
          <w:bCs/>
        </w:rPr>
      </w:pPr>
    </w:p>
    <w:p w14:paraId="3C719EE9" w14:textId="77777777" w:rsidR="00E47195" w:rsidRDefault="00E47195" w:rsidP="00BE255A">
      <w:pPr>
        <w:spacing w:after="0" w:line="240" w:lineRule="auto"/>
        <w:rPr>
          <w:rFonts w:asciiTheme="minorHAnsi" w:hAnsiTheme="minorHAnsi" w:cstheme="minorHAnsi"/>
        </w:rPr>
      </w:pPr>
    </w:p>
    <w:p w14:paraId="6B7E66FC" w14:textId="2EB77FAE" w:rsidR="00E47195" w:rsidRPr="00E47195" w:rsidRDefault="00E47195" w:rsidP="00E47195">
      <w:pPr>
        <w:pStyle w:val="ListParagraph"/>
        <w:numPr>
          <w:ilvl w:val="0"/>
          <w:numId w:val="3"/>
        </w:numPr>
        <w:spacing w:after="0" w:line="240" w:lineRule="auto"/>
        <w:ind w:left="284" w:hanging="284"/>
        <w:rPr>
          <w:rFonts w:asciiTheme="minorHAnsi" w:hAnsiTheme="minorHAnsi" w:cstheme="minorHAnsi"/>
        </w:rPr>
      </w:pPr>
      <w:bookmarkStart w:id="2" w:name="_Hlk150437104"/>
      <w:r w:rsidRPr="00E47195">
        <w:rPr>
          <w:rFonts w:asciiTheme="minorHAnsi" w:hAnsiTheme="minorHAnsi" w:cstheme="minorHAnsi"/>
        </w:rPr>
        <w:t xml:space="preserve">On </w:t>
      </w:r>
      <w:r w:rsidRPr="00E47195">
        <w:rPr>
          <w:rFonts w:asciiTheme="minorHAnsi" w:hAnsiTheme="minorHAnsi" w:cstheme="minorHAnsi"/>
          <w:b/>
          <w:bCs/>
        </w:rPr>
        <w:t>page 9</w:t>
      </w:r>
      <w:r w:rsidR="00763204">
        <w:rPr>
          <w:rFonts w:asciiTheme="minorHAnsi" w:hAnsiTheme="minorHAnsi" w:cstheme="minorHAnsi"/>
          <w:b/>
          <w:bCs/>
        </w:rPr>
        <w:t>0</w:t>
      </w:r>
      <w:r w:rsidRPr="00E47195">
        <w:rPr>
          <w:rFonts w:asciiTheme="minorHAnsi" w:hAnsiTheme="minorHAnsi" w:cstheme="minorHAnsi"/>
        </w:rPr>
        <w:t>, the incorrect unit of measure was changed from GW to TW in the</w:t>
      </w:r>
      <w:r>
        <w:rPr>
          <w:rFonts w:asciiTheme="minorHAnsi" w:hAnsiTheme="minorHAnsi" w:cstheme="minorHAnsi"/>
        </w:rPr>
        <w:t xml:space="preserve"> figure first</w:t>
      </w:r>
      <w:r w:rsidRPr="00E47195">
        <w:rPr>
          <w:rFonts w:asciiTheme="minorHAnsi" w:hAnsiTheme="minorHAnsi" w:cstheme="minorHAnsi"/>
        </w:rPr>
        <w:t xml:space="preserve"> paragraph </w:t>
      </w:r>
    </w:p>
    <w:p w14:paraId="7DBD48E8" w14:textId="77777777" w:rsidR="00E47195" w:rsidRDefault="00E47195" w:rsidP="00BE255A">
      <w:pPr>
        <w:spacing w:after="0" w:line="240" w:lineRule="auto"/>
        <w:rPr>
          <w:rFonts w:asciiTheme="minorHAnsi" w:hAnsiTheme="minorHAnsi" w:cstheme="minorHAnsi"/>
        </w:rPr>
      </w:pPr>
    </w:p>
    <w:bookmarkEnd w:id="2"/>
    <w:p w14:paraId="43EF506E" w14:textId="77777777" w:rsidR="00E47195" w:rsidRPr="00BE255A" w:rsidRDefault="00E47195" w:rsidP="00BE255A">
      <w:pPr>
        <w:spacing w:after="0" w:line="240" w:lineRule="auto"/>
        <w:rPr>
          <w:rFonts w:asciiTheme="minorHAnsi" w:hAnsiTheme="minorHAnsi" w:cstheme="minorHAnsi"/>
          <w:color w:val="FF0000"/>
        </w:rPr>
      </w:pPr>
    </w:p>
    <w:p w14:paraId="2A0D7FCF" w14:textId="60D18213" w:rsidR="00AA6D92" w:rsidRPr="00E47195" w:rsidRDefault="00E47195" w:rsidP="00AA6D92">
      <w:pPr>
        <w:spacing w:after="0" w:line="240" w:lineRule="auto"/>
        <w:rPr>
          <w:rFonts w:asciiTheme="minorHAnsi" w:hAnsiTheme="minorHAnsi" w:cstheme="minorHAnsi"/>
          <w:b/>
          <w:bCs/>
        </w:rPr>
      </w:pPr>
      <w:r w:rsidRPr="00E47195">
        <w:rPr>
          <w:rFonts w:asciiTheme="minorHAnsi" w:hAnsiTheme="minorHAnsi" w:cstheme="minorHAnsi"/>
          <w:b/>
          <w:bCs/>
        </w:rPr>
        <w:t xml:space="preserve">Old figure </w:t>
      </w:r>
    </w:p>
    <w:p w14:paraId="357A7B86" w14:textId="77777777" w:rsidR="00E47195" w:rsidRDefault="00E47195" w:rsidP="00AA6D92">
      <w:pPr>
        <w:spacing w:after="0" w:line="240" w:lineRule="auto"/>
        <w:rPr>
          <w:rFonts w:asciiTheme="minorHAnsi" w:hAnsiTheme="minorHAnsi" w:cstheme="minorHAnsi"/>
        </w:rPr>
      </w:pPr>
    </w:p>
    <w:p w14:paraId="06EC39EF" w14:textId="10E30BA0" w:rsidR="00E47195" w:rsidRDefault="00E47195" w:rsidP="00AA6D92">
      <w:pPr>
        <w:spacing w:after="0" w:line="240" w:lineRule="auto"/>
        <w:rPr>
          <w:rFonts w:asciiTheme="minorHAnsi" w:hAnsiTheme="minorHAnsi" w:cstheme="minorHAnsi"/>
        </w:rPr>
      </w:pPr>
      <w:r w:rsidRPr="00825533">
        <w:rPr>
          <w:noProof/>
        </w:rPr>
        <w:lastRenderedPageBreak/>
        <w:drawing>
          <wp:inline distT="0" distB="0" distL="0" distR="0" wp14:anchorId="7141C4F3" wp14:editId="032D9797">
            <wp:extent cx="5543550" cy="2343785"/>
            <wp:effectExtent l="0" t="0" r="0" b="0"/>
            <wp:docPr id="255421726" name="Picture 255421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43550" cy="2343785"/>
                    </a:xfrm>
                    <a:prstGeom prst="rect">
                      <a:avLst/>
                    </a:prstGeom>
                    <a:noFill/>
                    <a:ln>
                      <a:noFill/>
                    </a:ln>
                  </pic:spPr>
                </pic:pic>
              </a:graphicData>
            </a:graphic>
          </wp:inline>
        </w:drawing>
      </w:r>
    </w:p>
    <w:p w14:paraId="6E4507EB" w14:textId="77777777" w:rsidR="00E47195" w:rsidRDefault="00E47195" w:rsidP="00AA6D92">
      <w:pPr>
        <w:spacing w:after="0" w:line="240" w:lineRule="auto"/>
        <w:rPr>
          <w:rFonts w:asciiTheme="minorHAnsi" w:hAnsiTheme="minorHAnsi" w:cstheme="minorHAnsi"/>
        </w:rPr>
      </w:pPr>
    </w:p>
    <w:p w14:paraId="2A7262D0" w14:textId="77777777" w:rsidR="00E47195" w:rsidRDefault="00E47195" w:rsidP="00E47195">
      <w:pPr>
        <w:pStyle w:val="IEABodyText"/>
        <w:ind w:left="0"/>
        <w:rPr>
          <w:b/>
          <w:bCs/>
        </w:rPr>
      </w:pPr>
      <w:r w:rsidRPr="00E47195">
        <w:rPr>
          <w:b/>
          <w:bCs/>
        </w:rPr>
        <w:t xml:space="preserve">Replaced with </w:t>
      </w:r>
    </w:p>
    <w:p w14:paraId="6559C827" w14:textId="0A1FF6F5" w:rsidR="00E47195" w:rsidRDefault="009D2E5F" w:rsidP="00AA6D92">
      <w:pPr>
        <w:spacing w:after="0" w:line="240" w:lineRule="auto"/>
        <w:rPr>
          <w:rFonts w:asciiTheme="minorHAnsi" w:hAnsiTheme="minorHAnsi" w:cstheme="minorHAnsi"/>
        </w:rPr>
      </w:pPr>
      <w:r>
        <w:rPr>
          <w:noProof/>
        </w:rPr>
        <w:drawing>
          <wp:inline distT="0" distB="0" distL="0" distR="0" wp14:anchorId="0751D5E5" wp14:editId="30F37732">
            <wp:extent cx="5759450" cy="3264535"/>
            <wp:effectExtent l="0" t="0" r="0" b="0"/>
            <wp:docPr id="505524277" name="Picture 1" descr="A graph of different colored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524277" name="Picture 1" descr="A graph of different colored bars&#10;&#10;Description automatically generated with medium confidence"/>
                    <pic:cNvPicPr/>
                  </pic:nvPicPr>
                  <pic:blipFill>
                    <a:blip r:embed="rId13"/>
                    <a:stretch>
                      <a:fillRect/>
                    </a:stretch>
                  </pic:blipFill>
                  <pic:spPr>
                    <a:xfrm>
                      <a:off x="0" y="0"/>
                      <a:ext cx="5759450" cy="3264535"/>
                    </a:xfrm>
                    <a:prstGeom prst="rect">
                      <a:avLst/>
                    </a:prstGeom>
                  </pic:spPr>
                </pic:pic>
              </a:graphicData>
            </a:graphic>
          </wp:inline>
        </w:drawing>
      </w:r>
    </w:p>
    <w:p w14:paraId="4E46CF6B" w14:textId="77777777" w:rsidR="00E47195" w:rsidRDefault="00E47195" w:rsidP="00AA6D92">
      <w:pPr>
        <w:spacing w:after="0" w:line="240" w:lineRule="auto"/>
        <w:rPr>
          <w:rFonts w:asciiTheme="minorHAnsi" w:hAnsiTheme="minorHAnsi" w:cstheme="minorHAnsi"/>
        </w:rPr>
      </w:pPr>
    </w:p>
    <w:p w14:paraId="6F0A7158" w14:textId="77777777" w:rsidR="00E47195" w:rsidRDefault="00E47195" w:rsidP="00AA6D92">
      <w:pPr>
        <w:spacing w:after="0" w:line="240" w:lineRule="auto"/>
        <w:rPr>
          <w:rFonts w:asciiTheme="minorHAnsi" w:hAnsiTheme="minorHAnsi" w:cstheme="minorHAnsi"/>
        </w:rPr>
      </w:pPr>
    </w:p>
    <w:p w14:paraId="05E16627" w14:textId="77777777" w:rsidR="00E47195" w:rsidRDefault="00E47195" w:rsidP="00AA6D92">
      <w:pPr>
        <w:spacing w:after="0" w:line="240" w:lineRule="auto"/>
        <w:rPr>
          <w:rFonts w:asciiTheme="minorHAnsi" w:hAnsiTheme="minorHAnsi" w:cstheme="minorHAnsi"/>
        </w:rPr>
      </w:pPr>
    </w:p>
    <w:p w14:paraId="51CB209D" w14:textId="77777777" w:rsidR="00E47195" w:rsidRDefault="00E47195" w:rsidP="00AA6D92">
      <w:pPr>
        <w:spacing w:after="0" w:line="240" w:lineRule="auto"/>
        <w:rPr>
          <w:rFonts w:asciiTheme="minorHAnsi" w:hAnsiTheme="minorHAnsi" w:cstheme="minorHAnsi"/>
        </w:rPr>
      </w:pPr>
    </w:p>
    <w:p w14:paraId="6CB023D2" w14:textId="77777777" w:rsidR="00E47195" w:rsidRDefault="00E47195" w:rsidP="00AA6D92">
      <w:pPr>
        <w:spacing w:after="0" w:line="240" w:lineRule="auto"/>
        <w:rPr>
          <w:rFonts w:asciiTheme="minorHAnsi" w:hAnsiTheme="minorHAnsi" w:cstheme="minorHAnsi"/>
        </w:rPr>
      </w:pPr>
    </w:p>
    <w:p w14:paraId="0F1D5ED6" w14:textId="77777777" w:rsidR="00E47195" w:rsidRDefault="00E47195" w:rsidP="00AA6D92">
      <w:pPr>
        <w:spacing w:after="0" w:line="240" w:lineRule="auto"/>
        <w:rPr>
          <w:rFonts w:asciiTheme="minorHAnsi" w:hAnsiTheme="minorHAnsi" w:cstheme="minorHAnsi"/>
        </w:rPr>
      </w:pPr>
    </w:p>
    <w:p w14:paraId="24988992" w14:textId="2C90C8AA" w:rsidR="00E47195" w:rsidRPr="00E47195" w:rsidRDefault="00E47195" w:rsidP="00E47195">
      <w:pPr>
        <w:pStyle w:val="ListParagraph"/>
        <w:numPr>
          <w:ilvl w:val="0"/>
          <w:numId w:val="3"/>
        </w:numPr>
        <w:spacing w:after="0" w:line="240" w:lineRule="auto"/>
        <w:ind w:left="284" w:hanging="284"/>
        <w:rPr>
          <w:rFonts w:asciiTheme="minorHAnsi" w:hAnsiTheme="minorHAnsi" w:cstheme="minorHAnsi"/>
        </w:rPr>
      </w:pPr>
      <w:r w:rsidRPr="00E47195">
        <w:rPr>
          <w:rFonts w:asciiTheme="minorHAnsi" w:hAnsiTheme="minorHAnsi" w:cstheme="minorHAnsi"/>
        </w:rPr>
        <w:t xml:space="preserve">On </w:t>
      </w:r>
      <w:r w:rsidRPr="00E47195">
        <w:rPr>
          <w:rFonts w:asciiTheme="minorHAnsi" w:hAnsiTheme="minorHAnsi" w:cstheme="minorHAnsi"/>
          <w:b/>
          <w:bCs/>
        </w:rPr>
        <w:t>page 9</w:t>
      </w:r>
      <w:r w:rsidR="00763204">
        <w:rPr>
          <w:rFonts w:asciiTheme="minorHAnsi" w:hAnsiTheme="minorHAnsi" w:cstheme="minorHAnsi"/>
          <w:b/>
          <w:bCs/>
        </w:rPr>
        <w:t>0</w:t>
      </w:r>
      <w:r w:rsidRPr="00E47195">
        <w:rPr>
          <w:rFonts w:asciiTheme="minorHAnsi" w:hAnsiTheme="minorHAnsi" w:cstheme="minorHAnsi"/>
        </w:rPr>
        <w:t>, the incorrect unit of measure was changed from GW to TW in the</w:t>
      </w:r>
      <w:r>
        <w:rPr>
          <w:rFonts w:asciiTheme="minorHAnsi" w:hAnsiTheme="minorHAnsi" w:cstheme="minorHAnsi"/>
        </w:rPr>
        <w:t xml:space="preserve"> first</w:t>
      </w:r>
      <w:r w:rsidRPr="00E47195">
        <w:rPr>
          <w:rFonts w:asciiTheme="minorHAnsi" w:hAnsiTheme="minorHAnsi" w:cstheme="minorHAnsi"/>
        </w:rPr>
        <w:t xml:space="preserve"> paragraph </w:t>
      </w:r>
    </w:p>
    <w:p w14:paraId="0C372CA4" w14:textId="77777777" w:rsidR="00E47195" w:rsidRDefault="00E47195" w:rsidP="00AA6D92">
      <w:pPr>
        <w:spacing w:after="0" w:line="240" w:lineRule="auto"/>
        <w:rPr>
          <w:rFonts w:asciiTheme="minorHAnsi" w:hAnsiTheme="minorHAnsi" w:cstheme="minorHAnsi"/>
        </w:rPr>
      </w:pPr>
    </w:p>
    <w:p w14:paraId="24FA3864" w14:textId="77777777" w:rsidR="00E47195" w:rsidRDefault="00E47195" w:rsidP="00AA6D92">
      <w:pPr>
        <w:spacing w:after="0" w:line="240" w:lineRule="auto"/>
        <w:rPr>
          <w:rFonts w:asciiTheme="minorHAnsi" w:hAnsiTheme="minorHAnsi" w:cstheme="minorHAnsi"/>
        </w:rPr>
      </w:pPr>
    </w:p>
    <w:p w14:paraId="2088A764" w14:textId="5BDFA8EF" w:rsidR="00E47195" w:rsidRDefault="00E47195" w:rsidP="00E47195">
      <w:pPr>
        <w:spacing w:after="0" w:line="240" w:lineRule="auto"/>
        <w:jc w:val="both"/>
        <w:rPr>
          <w:rFonts w:asciiTheme="minorHAnsi" w:hAnsiTheme="minorHAnsi" w:cstheme="minorHAnsi"/>
        </w:rPr>
      </w:pPr>
      <w:r w:rsidRPr="00E47195">
        <w:rPr>
          <w:rFonts w:asciiTheme="minorHAnsi" w:hAnsiTheme="minorHAnsi" w:cstheme="minorHAnsi"/>
        </w:rPr>
        <w:t xml:space="preserve">In the NZE Scenario, the annual additions and replacements of power transformer capacity are significantly higher. Between 2022 and 2030, the pace reaches 4.9 </w:t>
      </w:r>
      <w:r w:rsidRPr="00E47195">
        <w:rPr>
          <w:rFonts w:asciiTheme="minorHAnsi" w:hAnsiTheme="minorHAnsi" w:cstheme="minorHAnsi"/>
          <w:b/>
          <w:bCs/>
        </w:rPr>
        <w:t>GW</w:t>
      </w:r>
      <w:r w:rsidRPr="00E47195">
        <w:rPr>
          <w:rFonts w:asciiTheme="minorHAnsi" w:hAnsiTheme="minorHAnsi" w:cstheme="minorHAnsi"/>
        </w:rPr>
        <w:t xml:space="preserve"> per year, and accelerates further to 6.5 </w:t>
      </w:r>
      <w:r w:rsidRPr="00E47195">
        <w:rPr>
          <w:rFonts w:asciiTheme="minorHAnsi" w:hAnsiTheme="minorHAnsi" w:cstheme="minorHAnsi"/>
          <w:b/>
          <w:bCs/>
        </w:rPr>
        <w:t>GW</w:t>
      </w:r>
      <w:r w:rsidRPr="00E47195">
        <w:rPr>
          <w:rFonts w:asciiTheme="minorHAnsi" w:hAnsiTheme="minorHAnsi" w:cstheme="minorHAnsi"/>
        </w:rPr>
        <w:t xml:space="preserve"> per year from 2031 to 2040. The rapid expansion in power infrastructure is needed </w:t>
      </w:r>
      <w:r w:rsidRPr="00E47195">
        <w:rPr>
          <w:rFonts w:asciiTheme="minorHAnsi" w:hAnsiTheme="minorHAnsi" w:cstheme="minorHAnsi"/>
        </w:rPr>
        <w:lastRenderedPageBreak/>
        <w:t xml:space="preserve">to support the rapid energy transitions in pursuit of net zero emissions goal. From 2041 to 2050 additions and replacements decrease to 4.8 </w:t>
      </w:r>
      <w:r w:rsidRPr="00E47195">
        <w:rPr>
          <w:rFonts w:asciiTheme="minorHAnsi" w:hAnsiTheme="minorHAnsi" w:cstheme="minorHAnsi"/>
          <w:b/>
          <w:bCs/>
        </w:rPr>
        <w:t>GW</w:t>
      </w:r>
      <w:r w:rsidRPr="00E47195">
        <w:rPr>
          <w:rFonts w:asciiTheme="minorHAnsi" w:hAnsiTheme="minorHAnsi" w:cstheme="minorHAnsi"/>
        </w:rPr>
        <w:t xml:space="preserve"> per year as demand growth begins to slow and energy efficiency measures take effect.</w:t>
      </w:r>
    </w:p>
    <w:p w14:paraId="1BCC9457" w14:textId="77777777" w:rsidR="00E47195" w:rsidRDefault="00E47195" w:rsidP="00E47195">
      <w:pPr>
        <w:spacing w:after="0" w:line="240" w:lineRule="auto"/>
        <w:jc w:val="both"/>
        <w:rPr>
          <w:rFonts w:asciiTheme="minorHAnsi" w:hAnsiTheme="minorHAnsi" w:cstheme="minorHAnsi"/>
        </w:rPr>
      </w:pPr>
    </w:p>
    <w:p w14:paraId="5125993C" w14:textId="77777777" w:rsidR="00E47195" w:rsidRDefault="00E47195" w:rsidP="00E47195">
      <w:pPr>
        <w:pStyle w:val="IEABodyText"/>
        <w:ind w:left="0"/>
        <w:rPr>
          <w:b/>
          <w:bCs/>
        </w:rPr>
      </w:pPr>
      <w:r w:rsidRPr="00E47195">
        <w:rPr>
          <w:b/>
          <w:bCs/>
        </w:rPr>
        <w:t xml:space="preserve">Replaced with </w:t>
      </w:r>
    </w:p>
    <w:p w14:paraId="52BFD51F" w14:textId="4EB4CCFA" w:rsidR="00E47195" w:rsidRDefault="00E47195" w:rsidP="00E47195">
      <w:pPr>
        <w:spacing w:after="0" w:line="240" w:lineRule="auto"/>
        <w:jc w:val="both"/>
        <w:rPr>
          <w:rFonts w:asciiTheme="minorHAnsi" w:hAnsiTheme="minorHAnsi" w:cstheme="minorHAnsi"/>
        </w:rPr>
      </w:pPr>
      <w:r w:rsidRPr="00E47195">
        <w:rPr>
          <w:rFonts w:asciiTheme="minorHAnsi" w:hAnsiTheme="minorHAnsi" w:cstheme="minorHAnsi"/>
        </w:rPr>
        <w:t xml:space="preserve">In the NZE Scenario, the annual additions and replacements of power transformer capacity are significantly higher. Between 2022 and 2030, the pace reaches 4.9 </w:t>
      </w:r>
      <w:r>
        <w:rPr>
          <w:rFonts w:asciiTheme="minorHAnsi" w:hAnsiTheme="minorHAnsi" w:cstheme="minorHAnsi"/>
          <w:b/>
          <w:bCs/>
        </w:rPr>
        <w:t>T</w:t>
      </w:r>
      <w:r w:rsidRPr="00E47195">
        <w:rPr>
          <w:rFonts w:asciiTheme="minorHAnsi" w:hAnsiTheme="minorHAnsi" w:cstheme="minorHAnsi"/>
          <w:b/>
          <w:bCs/>
        </w:rPr>
        <w:t>W</w:t>
      </w:r>
      <w:r w:rsidRPr="00E47195">
        <w:rPr>
          <w:rFonts w:asciiTheme="minorHAnsi" w:hAnsiTheme="minorHAnsi" w:cstheme="minorHAnsi"/>
        </w:rPr>
        <w:t xml:space="preserve"> per year, and accelerates further to 6.5 </w:t>
      </w:r>
      <w:r>
        <w:rPr>
          <w:rFonts w:asciiTheme="minorHAnsi" w:hAnsiTheme="minorHAnsi" w:cstheme="minorHAnsi"/>
          <w:b/>
          <w:bCs/>
        </w:rPr>
        <w:t>T</w:t>
      </w:r>
      <w:r w:rsidRPr="00E47195">
        <w:rPr>
          <w:rFonts w:asciiTheme="minorHAnsi" w:hAnsiTheme="minorHAnsi" w:cstheme="minorHAnsi"/>
          <w:b/>
          <w:bCs/>
        </w:rPr>
        <w:t>W</w:t>
      </w:r>
      <w:r w:rsidRPr="00E47195">
        <w:rPr>
          <w:rFonts w:asciiTheme="minorHAnsi" w:hAnsiTheme="minorHAnsi" w:cstheme="minorHAnsi"/>
        </w:rPr>
        <w:t xml:space="preserve"> per year from 2031 to 2040. The rapid expansion in power infrastructure is needed to support the rapid energy transitions in pursuit of net zero emissions goal. From 2041 to 2050 additions and replacements decrease to 4.8 </w:t>
      </w:r>
      <w:r>
        <w:rPr>
          <w:rFonts w:asciiTheme="minorHAnsi" w:hAnsiTheme="minorHAnsi" w:cstheme="minorHAnsi"/>
          <w:b/>
          <w:bCs/>
        </w:rPr>
        <w:t>T</w:t>
      </w:r>
      <w:r w:rsidRPr="00E47195">
        <w:rPr>
          <w:rFonts w:asciiTheme="minorHAnsi" w:hAnsiTheme="minorHAnsi" w:cstheme="minorHAnsi"/>
          <w:b/>
          <w:bCs/>
        </w:rPr>
        <w:t>W</w:t>
      </w:r>
      <w:r w:rsidRPr="00E47195">
        <w:rPr>
          <w:rFonts w:asciiTheme="minorHAnsi" w:hAnsiTheme="minorHAnsi" w:cstheme="minorHAnsi"/>
        </w:rPr>
        <w:t xml:space="preserve"> per year as demand growth begins to slow and energy efficiency measures take effect.</w:t>
      </w:r>
    </w:p>
    <w:p w14:paraId="1207CA04" w14:textId="77777777" w:rsidR="00E47195" w:rsidRPr="00BE255A" w:rsidRDefault="00E47195" w:rsidP="00AA6D92">
      <w:pPr>
        <w:spacing w:after="0" w:line="240" w:lineRule="auto"/>
        <w:rPr>
          <w:rFonts w:asciiTheme="minorHAnsi" w:hAnsiTheme="minorHAnsi" w:cstheme="minorHAnsi"/>
        </w:rPr>
      </w:pPr>
    </w:p>
    <w:p w14:paraId="3C07011A" w14:textId="073077E2" w:rsidR="00195993" w:rsidRDefault="00195993" w:rsidP="00195993">
      <w:pPr>
        <w:spacing w:after="0" w:line="240" w:lineRule="auto"/>
        <w:rPr>
          <w:rFonts w:ascii="Segoe UI" w:hAnsi="Segoe UI" w:cs="Segoe UI"/>
          <w:sz w:val="16"/>
          <w:szCs w:val="16"/>
        </w:rPr>
      </w:pPr>
    </w:p>
    <w:p w14:paraId="2570CA45" w14:textId="77777777" w:rsidR="00AA6D92" w:rsidRDefault="00AA6D92" w:rsidP="00195993">
      <w:pPr>
        <w:spacing w:after="0" w:line="240" w:lineRule="auto"/>
        <w:rPr>
          <w:rFonts w:ascii="Segoe UI" w:hAnsi="Segoe UI" w:cs="Segoe UI"/>
          <w:sz w:val="16"/>
          <w:szCs w:val="16"/>
        </w:rPr>
      </w:pPr>
    </w:p>
    <w:sectPr w:rsidR="00AA6D92" w:rsidSect="00195993">
      <w:headerReference w:type="default" r:id="rId14"/>
      <w:footerReference w:type="default" r:id="rId15"/>
      <w:headerReference w:type="first" r:id="rId16"/>
      <w:type w:val="continuous"/>
      <w:pgSz w:w="11906" w:h="16838"/>
      <w:pgMar w:top="1532" w:right="1418" w:bottom="1701" w:left="1418" w:header="567"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544B1" w14:textId="77777777" w:rsidR="00131EA9" w:rsidRDefault="00131EA9" w:rsidP="007135AB">
      <w:pPr>
        <w:spacing w:after="0" w:line="240" w:lineRule="auto"/>
      </w:pPr>
      <w:r>
        <w:separator/>
      </w:r>
    </w:p>
  </w:endnote>
  <w:endnote w:type="continuationSeparator" w:id="0">
    <w:p w14:paraId="043C871D" w14:textId="77777777" w:rsidR="00131EA9" w:rsidRDefault="00131EA9" w:rsidP="00713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variable"/>
    <w:sig w:usb0="60000287" w:usb1="00000001" w:usb2="00000000" w:usb3="00000000" w:csb0="0000019F" w:csb1="00000000"/>
  </w:font>
  <w:font w:name="TheSerifLight-Plain">
    <w:panose1 w:val="00000000000000000000"/>
    <w:charset w:val="00"/>
    <w:family w:val="roman"/>
    <w:notTrueType/>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0B331" w14:textId="77777777" w:rsidR="00C85F3E" w:rsidRPr="00E06AE7" w:rsidRDefault="00C85F3E" w:rsidP="00E06AE7">
    <w:pPr>
      <w:pStyle w:val="NoParagraphStyle"/>
      <w:spacing w:line="240" w:lineRule="auto"/>
      <w:rPr>
        <w:rFonts w:ascii="Segoe UI" w:hAnsi="Segoe UI" w:cs="Segoe UI"/>
        <w:color w:val="7F7F7F" w:themeColor="text1" w:themeTint="80"/>
        <w:sz w:val="20"/>
        <w:szCs w:val="15"/>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E6D8F" w14:textId="77777777" w:rsidR="00131EA9" w:rsidRDefault="00131EA9" w:rsidP="007135AB">
      <w:pPr>
        <w:spacing w:after="0" w:line="240" w:lineRule="auto"/>
      </w:pPr>
      <w:r>
        <w:separator/>
      </w:r>
    </w:p>
  </w:footnote>
  <w:footnote w:type="continuationSeparator" w:id="0">
    <w:p w14:paraId="0DB9AAF5" w14:textId="77777777" w:rsidR="00131EA9" w:rsidRDefault="00131EA9" w:rsidP="007135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B0048" w14:textId="77777777" w:rsidR="00C85F3E" w:rsidRPr="001A4288" w:rsidRDefault="00852ED3" w:rsidP="00852ED3">
    <w:pPr>
      <w:pStyle w:val="Header"/>
      <w:tabs>
        <w:tab w:val="clear" w:pos="4513"/>
        <w:tab w:val="center" w:pos="4535"/>
        <w:tab w:val="right" w:pos="9070"/>
      </w:tabs>
      <w:rPr>
        <w:rFonts w:ascii="Trebuchet MS" w:hAnsi="Trebuchet MS"/>
        <w:sz w:val="20"/>
        <w:szCs w:val="20"/>
      </w:rPr>
    </w:pPr>
    <w:r>
      <w:rPr>
        <w:rFonts w:ascii="Trebuchet MS" w:hAnsi="Trebuchet MS"/>
        <w:noProof/>
        <w:sz w:val="20"/>
        <w:szCs w:val="20"/>
        <w:lang w:eastAsia="en-GB"/>
      </w:rPr>
      <w:drawing>
        <wp:inline distT="0" distB="0" distL="0" distR="0" wp14:anchorId="49693056" wp14:editId="63702583">
          <wp:extent cx="1461874" cy="610377"/>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ea_logo_DIGITAL.png"/>
                  <pic:cNvPicPr/>
                </pic:nvPicPr>
                <pic:blipFill>
                  <a:blip r:embed="rId1">
                    <a:extLst>
                      <a:ext uri="{28A0092B-C50C-407E-A947-70E740481C1C}">
                        <a14:useLocalDpi xmlns:a14="http://schemas.microsoft.com/office/drawing/2010/main" val="0"/>
                      </a:ext>
                    </a:extLst>
                  </a:blip>
                  <a:stretch>
                    <a:fillRect/>
                  </a:stretch>
                </pic:blipFill>
                <pic:spPr>
                  <a:xfrm>
                    <a:off x="0" y="0"/>
                    <a:ext cx="1475531" cy="616079"/>
                  </a:xfrm>
                  <a:prstGeom prst="rect">
                    <a:avLst/>
                  </a:prstGeom>
                </pic:spPr>
              </pic:pic>
            </a:graphicData>
          </a:graphic>
        </wp:inline>
      </w:drawing>
    </w:r>
    <w:r>
      <w:rPr>
        <w:rFonts w:ascii="Trebuchet MS" w:hAnsi="Trebuchet MS"/>
        <w:sz w:val="20"/>
        <w:szCs w:val="20"/>
      </w:rPr>
      <w:tab/>
    </w:r>
    <w:r>
      <w:rPr>
        <w:rFonts w:ascii="Trebuchet MS" w:hAnsi="Trebuchet MS"/>
        <w:sz w:val="20"/>
        <w:szCs w:val="20"/>
      </w:rPr>
      <w:tab/>
    </w:r>
  </w:p>
  <w:p w14:paraId="6786B141" w14:textId="77777777" w:rsidR="00C85F3E" w:rsidRDefault="00C85F3E" w:rsidP="007135AB">
    <w:pPr>
      <w:pStyle w:val="Header"/>
      <w:jc w:val="right"/>
      <w:rPr>
        <w:rFonts w:ascii="Trebuchet MS" w:hAnsi="Trebuchet MS"/>
        <w:sz w:val="20"/>
        <w:szCs w:val="20"/>
      </w:rPr>
    </w:pPr>
  </w:p>
  <w:p w14:paraId="354B086B" w14:textId="77777777" w:rsidR="00C85F3E" w:rsidRPr="001A4288" w:rsidRDefault="00C85F3E" w:rsidP="007135AB">
    <w:pPr>
      <w:pStyle w:val="Header"/>
      <w:jc w:val="right"/>
      <w:rPr>
        <w:rFonts w:ascii="Trebuchet MS" w:hAnsi="Trebuchet MS"/>
        <w:sz w:val="20"/>
        <w:szCs w:val="20"/>
      </w:rPr>
    </w:pPr>
  </w:p>
  <w:p w14:paraId="1A8EC9BD" w14:textId="77777777" w:rsidR="00C85F3E" w:rsidRPr="001A4288" w:rsidRDefault="00C85F3E" w:rsidP="007135AB">
    <w:pPr>
      <w:pStyle w:val="Header"/>
      <w:jc w:val="right"/>
      <w:rPr>
        <w:rFonts w:ascii="Trebuchet MS" w:hAnsi="Trebuchet M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C177D" w14:textId="77777777" w:rsidR="00852ED3" w:rsidRDefault="00852ED3">
    <w:pPr>
      <w:pStyle w:val="Header"/>
    </w:pPr>
    <w:r>
      <w:rPr>
        <w:noProof/>
        <w:lang w:eastAsia="en-GB"/>
      </w:rPr>
      <w:drawing>
        <wp:inline distT="0" distB="0" distL="0" distR="0" wp14:anchorId="605BFD5C" wp14:editId="4413AC68">
          <wp:extent cx="1423284" cy="594264"/>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ea_logo_DIGITAL.png"/>
                  <pic:cNvPicPr/>
                </pic:nvPicPr>
                <pic:blipFill>
                  <a:blip r:embed="rId1">
                    <a:extLst>
                      <a:ext uri="{28A0092B-C50C-407E-A947-70E740481C1C}">
                        <a14:useLocalDpi xmlns:a14="http://schemas.microsoft.com/office/drawing/2010/main" val="0"/>
                      </a:ext>
                    </a:extLst>
                  </a:blip>
                  <a:stretch>
                    <a:fillRect/>
                  </a:stretch>
                </pic:blipFill>
                <pic:spPr>
                  <a:xfrm>
                    <a:off x="0" y="0"/>
                    <a:ext cx="1432614" cy="5981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038F5"/>
    <w:multiLevelType w:val="hybridMultilevel"/>
    <w:tmpl w:val="669AB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777AE7"/>
    <w:multiLevelType w:val="hybridMultilevel"/>
    <w:tmpl w:val="6D82885A"/>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58561804">
    <w:abstractNumId w:val="1"/>
    <w:lvlOverride w:ilvl="0">
      <w:startOverride w:val="1"/>
    </w:lvlOverride>
    <w:lvlOverride w:ilvl="1"/>
    <w:lvlOverride w:ilvl="2"/>
    <w:lvlOverride w:ilvl="3"/>
    <w:lvlOverride w:ilvl="4"/>
    <w:lvlOverride w:ilvl="5"/>
    <w:lvlOverride w:ilvl="6"/>
    <w:lvlOverride w:ilvl="7"/>
    <w:lvlOverride w:ilvl="8"/>
  </w:num>
  <w:num w:numId="2" w16cid:durableId="692271217">
    <w:abstractNumId w:val="1"/>
  </w:num>
  <w:num w:numId="3" w16cid:durableId="1459684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173"/>
    <w:rsid w:val="00000F71"/>
    <w:rsid w:val="00001F15"/>
    <w:rsid w:val="00034B9D"/>
    <w:rsid w:val="00037476"/>
    <w:rsid w:val="000411FC"/>
    <w:rsid w:val="00051AB0"/>
    <w:rsid w:val="0005558C"/>
    <w:rsid w:val="0006284D"/>
    <w:rsid w:val="00082604"/>
    <w:rsid w:val="0008305B"/>
    <w:rsid w:val="00083CB9"/>
    <w:rsid w:val="00085724"/>
    <w:rsid w:val="000877D1"/>
    <w:rsid w:val="000958C8"/>
    <w:rsid w:val="000A3B2C"/>
    <w:rsid w:val="000B39F2"/>
    <w:rsid w:val="000B5A6E"/>
    <w:rsid w:val="000B5A79"/>
    <w:rsid w:val="000C5616"/>
    <w:rsid w:val="000F062B"/>
    <w:rsid w:val="000F5722"/>
    <w:rsid w:val="00104630"/>
    <w:rsid w:val="00106BE9"/>
    <w:rsid w:val="0011524E"/>
    <w:rsid w:val="001219F7"/>
    <w:rsid w:val="00130734"/>
    <w:rsid w:val="00131EA9"/>
    <w:rsid w:val="00133D22"/>
    <w:rsid w:val="001433B8"/>
    <w:rsid w:val="001443D9"/>
    <w:rsid w:val="00156236"/>
    <w:rsid w:val="0016094B"/>
    <w:rsid w:val="00161F5C"/>
    <w:rsid w:val="00162319"/>
    <w:rsid w:val="00166CF6"/>
    <w:rsid w:val="00191EE5"/>
    <w:rsid w:val="00195993"/>
    <w:rsid w:val="001966FB"/>
    <w:rsid w:val="001A2048"/>
    <w:rsid w:val="001A4288"/>
    <w:rsid w:val="001A477B"/>
    <w:rsid w:val="001B6D29"/>
    <w:rsid w:val="001C36EA"/>
    <w:rsid w:val="001C6CF2"/>
    <w:rsid w:val="001D4A21"/>
    <w:rsid w:val="001D5611"/>
    <w:rsid w:val="001D624D"/>
    <w:rsid w:val="001D78E3"/>
    <w:rsid w:val="001E7DB9"/>
    <w:rsid w:val="001F3456"/>
    <w:rsid w:val="0020306D"/>
    <w:rsid w:val="00216CD8"/>
    <w:rsid w:val="00225B56"/>
    <w:rsid w:val="002412A7"/>
    <w:rsid w:val="00242A7A"/>
    <w:rsid w:val="0027204E"/>
    <w:rsid w:val="00281160"/>
    <w:rsid w:val="0029160E"/>
    <w:rsid w:val="00291E60"/>
    <w:rsid w:val="002A03FC"/>
    <w:rsid w:val="002A18DD"/>
    <w:rsid w:val="002B253B"/>
    <w:rsid w:val="002B6742"/>
    <w:rsid w:val="002C2442"/>
    <w:rsid w:val="002D1A79"/>
    <w:rsid w:val="002D43BE"/>
    <w:rsid w:val="002F059B"/>
    <w:rsid w:val="002F4639"/>
    <w:rsid w:val="00303410"/>
    <w:rsid w:val="0032171F"/>
    <w:rsid w:val="003254E7"/>
    <w:rsid w:val="0032792F"/>
    <w:rsid w:val="00334134"/>
    <w:rsid w:val="0034152A"/>
    <w:rsid w:val="0037441B"/>
    <w:rsid w:val="0037608A"/>
    <w:rsid w:val="003804ED"/>
    <w:rsid w:val="0038632E"/>
    <w:rsid w:val="00390712"/>
    <w:rsid w:val="00391826"/>
    <w:rsid w:val="003A0A7A"/>
    <w:rsid w:val="003A118C"/>
    <w:rsid w:val="003A2834"/>
    <w:rsid w:val="003C5CA1"/>
    <w:rsid w:val="003C70BD"/>
    <w:rsid w:val="003C77A4"/>
    <w:rsid w:val="003D0AED"/>
    <w:rsid w:val="003E0641"/>
    <w:rsid w:val="003E6B7E"/>
    <w:rsid w:val="003E70B3"/>
    <w:rsid w:val="003F35FA"/>
    <w:rsid w:val="003F4AE6"/>
    <w:rsid w:val="0040261C"/>
    <w:rsid w:val="00405908"/>
    <w:rsid w:val="00406BFA"/>
    <w:rsid w:val="00434D2F"/>
    <w:rsid w:val="004365FB"/>
    <w:rsid w:val="00447F89"/>
    <w:rsid w:val="004537D3"/>
    <w:rsid w:val="00453E61"/>
    <w:rsid w:val="00455D11"/>
    <w:rsid w:val="00472445"/>
    <w:rsid w:val="0047295F"/>
    <w:rsid w:val="0047384C"/>
    <w:rsid w:val="00484508"/>
    <w:rsid w:val="004872BA"/>
    <w:rsid w:val="00495A5C"/>
    <w:rsid w:val="004A1589"/>
    <w:rsid w:val="004C268E"/>
    <w:rsid w:val="004C2846"/>
    <w:rsid w:val="004D3044"/>
    <w:rsid w:val="004E241D"/>
    <w:rsid w:val="004E619A"/>
    <w:rsid w:val="0050165C"/>
    <w:rsid w:val="005050D3"/>
    <w:rsid w:val="00510366"/>
    <w:rsid w:val="00542B22"/>
    <w:rsid w:val="00564CC2"/>
    <w:rsid w:val="005711F8"/>
    <w:rsid w:val="005758F6"/>
    <w:rsid w:val="00580D11"/>
    <w:rsid w:val="005853FD"/>
    <w:rsid w:val="00591A7D"/>
    <w:rsid w:val="005D2787"/>
    <w:rsid w:val="005D6C18"/>
    <w:rsid w:val="005E0182"/>
    <w:rsid w:val="005E2BEF"/>
    <w:rsid w:val="005E7B64"/>
    <w:rsid w:val="005F6454"/>
    <w:rsid w:val="00600297"/>
    <w:rsid w:val="00607914"/>
    <w:rsid w:val="00610EE7"/>
    <w:rsid w:val="00611004"/>
    <w:rsid w:val="00615574"/>
    <w:rsid w:val="006265AB"/>
    <w:rsid w:val="006328CC"/>
    <w:rsid w:val="00643D98"/>
    <w:rsid w:val="00644371"/>
    <w:rsid w:val="00644682"/>
    <w:rsid w:val="0065026C"/>
    <w:rsid w:val="00652562"/>
    <w:rsid w:val="00653497"/>
    <w:rsid w:val="00662CB4"/>
    <w:rsid w:val="00666089"/>
    <w:rsid w:val="006877A6"/>
    <w:rsid w:val="00694382"/>
    <w:rsid w:val="006A0195"/>
    <w:rsid w:val="006A0242"/>
    <w:rsid w:val="006A376A"/>
    <w:rsid w:val="006B27FF"/>
    <w:rsid w:val="006B6983"/>
    <w:rsid w:val="006C7163"/>
    <w:rsid w:val="006D260D"/>
    <w:rsid w:val="006E7434"/>
    <w:rsid w:val="006F2523"/>
    <w:rsid w:val="0070403E"/>
    <w:rsid w:val="0070508F"/>
    <w:rsid w:val="007135AB"/>
    <w:rsid w:val="0074148C"/>
    <w:rsid w:val="00757201"/>
    <w:rsid w:val="00757775"/>
    <w:rsid w:val="00763204"/>
    <w:rsid w:val="007707FC"/>
    <w:rsid w:val="00791F1C"/>
    <w:rsid w:val="00792CB5"/>
    <w:rsid w:val="007972B5"/>
    <w:rsid w:val="007C6AA9"/>
    <w:rsid w:val="007D09FE"/>
    <w:rsid w:val="007D191C"/>
    <w:rsid w:val="007D49E9"/>
    <w:rsid w:val="007E121A"/>
    <w:rsid w:val="007E5382"/>
    <w:rsid w:val="007E7777"/>
    <w:rsid w:val="00801E70"/>
    <w:rsid w:val="008028CE"/>
    <w:rsid w:val="008039A6"/>
    <w:rsid w:val="00823C88"/>
    <w:rsid w:val="008369F6"/>
    <w:rsid w:val="008429AA"/>
    <w:rsid w:val="00852ED3"/>
    <w:rsid w:val="008555BB"/>
    <w:rsid w:val="00856F8F"/>
    <w:rsid w:val="00875039"/>
    <w:rsid w:val="00880461"/>
    <w:rsid w:val="008900B6"/>
    <w:rsid w:val="00891893"/>
    <w:rsid w:val="008A05B2"/>
    <w:rsid w:val="008A0DC1"/>
    <w:rsid w:val="008B7D28"/>
    <w:rsid w:val="008D30C2"/>
    <w:rsid w:val="008E1485"/>
    <w:rsid w:val="008E1C27"/>
    <w:rsid w:val="008E7AF1"/>
    <w:rsid w:val="008F7321"/>
    <w:rsid w:val="0091324E"/>
    <w:rsid w:val="00915F60"/>
    <w:rsid w:val="009318C8"/>
    <w:rsid w:val="00932DA1"/>
    <w:rsid w:val="0095128F"/>
    <w:rsid w:val="00970A0B"/>
    <w:rsid w:val="00975F76"/>
    <w:rsid w:val="009767D2"/>
    <w:rsid w:val="009900C5"/>
    <w:rsid w:val="0099752F"/>
    <w:rsid w:val="009B1FE3"/>
    <w:rsid w:val="009B4690"/>
    <w:rsid w:val="009B4FAD"/>
    <w:rsid w:val="009B7120"/>
    <w:rsid w:val="009B7173"/>
    <w:rsid w:val="009B7D6E"/>
    <w:rsid w:val="009C0864"/>
    <w:rsid w:val="009C62A7"/>
    <w:rsid w:val="009D10BE"/>
    <w:rsid w:val="009D2E5F"/>
    <w:rsid w:val="009F0773"/>
    <w:rsid w:val="009F5F1A"/>
    <w:rsid w:val="00A238CF"/>
    <w:rsid w:val="00A24544"/>
    <w:rsid w:val="00A276BE"/>
    <w:rsid w:val="00A27E2A"/>
    <w:rsid w:val="00A3399E"/>
    <w:rsid w:val="00A35F65"/>
    <w:rsid w:val="00A37031"/>
    <w:rsid w:val="00A408A6"/>
    <w:rsid w:val="00A53A2F"/>
    <w:rsid w:val="00A55A76"/>
    <w:rsid w:val="00A66A5E"/>
    <w:rsid w:val="00A73360"/>
    <w:rsid w:val="00A91C88"/>
    <w:rsid w:val="00A95DFB"/>
    <w:rsid w:val="00A9711E"/>
    <w:rsid w:val="00AA0225"/>
    <w:rsid w:val="00AA2D55"/>
    <w:rsid w:val="00AA6D92"/>
    <w:rsid w:val="00AB4F14"/>
    <w:rsid w:val="00AC161E"/>
    <w:rsid w:val="00AE5204"/>
    <w:rsid w:val="00AF4264"/>
    <w:rsid w:val="00AF6FB0"/>
    <w:rsid w:val="00B04DD0"/>
    <w:rsid w:val="00B1361D"/>
    <w:rsid w:val="00B35EC8"/>
    <w:rsid w:val="00B46203"/>
    <w:rsid w:val="00B5448D"/>
    <w:rsid w:val="00B627A2"/>
    <w:rsid w:val="00B72605"/>
    <w:rsid w:val="00B73925"/>
    <w:rsid w:val="00B75735"/>
    <w:rsid w:val="00B76B76"/>
    <w:rsid w:val="00BB5BAB"/>
    <w:rsid w:val="00BC5A7E"/>
    <w:rsid w:val="00BD00D2"/>
    <w:rsid w:val="00BD2DD6"/>
    <w:rsid w:val="00BE255A"/>
    <w:rsid w:val="00BE6F89"/>
    <w:rsid w:val="00BF156B"/>
    <w:rsid w:val="00C22141"/>
    <w:rsid w:val="00C26BDD"/>
    <w:rsid w:val="00C27BAD"/>
    <w:rsid w:val="00C33805"/>
    <w:rsid w:val="00C35654"/>
    <w:rsid w:val="00C36F8B"/>
    <w:rsid w:val="00C4036D"/>
    <w:rsid w:val="00C56966"/>
    <w:rsid w:val="00C611DC"/>
    <w:rsid w:val="00C65A93"/>
    <w:rsid w:val="00C7064F"/>
    <w:rsid w:val="00C85F3E"/>
    <w:rsid w:val="00C90EAB"/>
    <w:rsid w:val="00CA3163"/>
    <w:rsid w:val="00CA4409"/>
    <w:rsid w:val="00CA5E2B"/>
    <w:rsid w:val="00CB0FB5"/>
    <w:rsid w:val="00CB5512"/>
    <w:rsid w:val="00CD7B56"/>
    <w:rsid w:val="00CE2B57"/>
    <w:rsid w:val="00D06B45"/>
    <w:rsid w:val="00D1398C"/>
    <w:rsid w:val="00D23639"/>
    <w:rsid w:val="00D262F5"/>
    <w:rsid w:val="00D31E69"/>
    <w:rsid w:val="00D54CA2"/>
    <w:rsid w:val="00D63D1B"/>
    <w:rsid w:val="00D65A98"/>
    <w:rsid w:val="00D71BED"/>
    <w:rsid w:val="00D75313"/>
    <w:rsid w:val="00D810CD"/>
    <w:rsid w:val="00D87735"/>
    <w:rsid w:val="00D93AA4"/>
    <w:rsid w:val="00D945F7"/>
    <w:rsid w:val="00D97205"/>
    <w:rsid w:val="00DA0023"/>
    <w:rsid w:val="00DA69D1"/>
    <w:rsid w:val="00DB5606"/>
    <w:rsid w:val="00DB77A9"/>
    <w:rsid w:val="00DB7DD1"/>
    <w:rsid w:val="00DC2CFD"/>
    <w:rsid w:val="00DD201A"/>
    <w:rsid w:val="00DD50F5"/>
    <w:rsid w:val="00DE1305"/>
    <w:rsid w:val="00DE2B35"/>
    <w:rsid w:val="00DF7F59"/>
    <w:rsid w:val="00E002E5"/>
    <w:rsid w:val="00E06AE7"/>
    <w:rsid w:val="00E13300"/>
    <w:rsid w:val="00E142CC"/>
    <w:rsid w:val="00E16D62"/>
    <w:rsid w:val="00E2124E"/>
    <w:rsid w:val="00E21522"/>
    <w:rsid w:val="00E27CB5"/>
    <w:rsid w:val="00E32A3C"/>
    <w:rsid w:val="00E40EC2"/>
    <w:rsid w:val="00E469A2"/>
    <w:rsid w:val="00E47195"/>
    <w:rsid w:val="00E6676D"/>
    <w:rsid w:val="00E66ADD"/>
    <w:rsid w:val="00E70D6B"/>
    <w:rsid w:val="00E749FD"/>
    <w:rsid w:val="00E8379B"/>
    <w:rsid w:val="00E856FE"/>
    <w:rsid w:val="00E90B54"/>
    <w:rsid w:val="00E93427"/>
    <w:rsid w:val="00E9596D"/>
    <w:rsid w:val="00EA550A"/>
    <w:rsid w:val="00EB326D"/>
    <w:rsid w:val="00EB6D4A"/>
    <w:rsid w:val="00EC3D1A"/>
    <w:rsid w:val="00EF1BA6"/>
    <w:rsid w:val="00EF54FD"/>
    <w:rsid w:val="00F00CEB"/>
    <w:rsid w:val="00F04A7E"/>
    <w:rsid w:val="00F0516F"/>
    <w:rsid w:val="00F11686"/>
    <w:rsid w:val="00F15D26"/>
    <w:rsid w:val="00F211B8"/>
    <w:rsid w:val="00F245CF"/>
    <w:rsid w:val="00F27966"/>
    <w:rsid w:val="00F27D88"/>
    <w:rsid w:val="00F31387"/>
    <w:rsid w:val="00F4327F"/>
    <w:rsid w:val="00F54121"/>
    <w:rsid w:val="00F62D94"/>
    <w:rsid w:val="00F70EC8"/>
    <w:rsid w:val="00F75C5C"/>
    <w:rsid w:val="00F922F7"/>
    <w:rsid w:val="00F92F6F"/>
    <w:rsid w:val="00F95152"/>
    <w:rsid w:val="00FB1048"/>
    <w:rsid w:val="00FB23E4"/>
    <w:rsid w:val="00FC1267"/>
    <w:rsid w:val="00FD44C8"/>
    <w:rsid w:val="00FE104A"/>
    <w:rsid w:val="00FE7126"/>
  </w:rsids>
  <m:mathPr>
    <m:mathFont m:val="Cambria Math"/>
    <m:brkBin m:val="before"/>
    <m:brkBinSub m:val="--"/>
    <m:smallFrac m:val="0"/>
    <m:dispDef/>
    <m:lMargin m:val="0"/>
    <m:rMargin m:val="0"/>
    <m:defJc m:val="centerGroup"/>
    <m:wrapIndent m:val="1440"/>
    <m:intLim m:val="subSup"/>
    <m:naryLim m:val="undOvr"/>
  </m:mathPr>
  <w:themeFontLang w:val="en-GB"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79792"/>
  <w15:docId w15:val="{C94B6154-BF5A-459F-908D-6459BD43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2CC"/>
    <w:pPr>
      <w:spacing w:after="200" w:line="276" w:lineRule="auto"/>
    </w:pPr>
    <w:rPr>
      <w:sz w:val="22"/>
      <w:szCs w:val="22"/>
      <w:lang w:eastAsia="en-US"/>
    </w:rPr>
  </w:style>
  <w:style w:type="paragraph" w:styleId="Heading1">
    <w:name w:val="heading 1"/>
    <w:basedOn w:val="Normal"/>
    <w:next w:val="Normal"/>
    <w:link w:val="Heading1Char"/>
    <w:uiPriority w:val="9"/>
    <w:qFormat/>
    <w:rsid w:val="00162319"/>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162319"/>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2319"/>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162319"/>
    <w:rPr>
      <w:rFonts w:ascii="Cambria" w:eastAsia="Times New Roman" w:hAnsi="Cambria" w:cs="Times New Roman"/>
      <w:b/>
      <w:bCs/>
      <w:color w:val="4F81BD"/>
      <w:sz w:val="26"/>
      <w:szCs w:val="26"/>
    </w:rPr>
  </w:style>
  <w:style w:type="paragraph" w:styleId="BalloonText">
    <w:name w:val="Balloon Text"/>
    <w:basedOn w:val="Normal"/>
    <w:link w:val="BalloonTextChar"/>
    <w:uiPriority w:val="99"/>
    <w:semiHidden/>
    <w:unhideWhenUsed/>
    <w:rsid w:val="007135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135AB"/>
    <w:rPr>
      <w:rFonts w:ascii="Tahoma" w:hAnsi="Tahoma" w:cs="Tahoma"/>
      <w:sz w:val="16"/>
      <w:szCs w:val="16"/>
    </w:rPr>
  </w:style>
  <w:style w:type="paragraph" w:styleId="Header">
    <w:name w:val="header"/>
    <w:basedOn w:val="Normal"/>
    <w:link w:val="HeaderChar"/>
    <w:uiPriority w:val="99"/>
    <w:unhideWhenUsed/>
    <w:rsid w:val="007135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5AB"/>
  </w:style>
  <w:style w:type="paragraph" w:styleId="Footer">
    <w:name w:val="footer"/>
    <w:basedOn w:val="Normal"/>
    <w:link w:val="FooterChar"/>
    <w:uiPriority w:val="99"/>
    <w:unhideWhenUsed/>
    <w:rsid w:val="007135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5AB"/>
  </w:style>
  <w:style w:type="character" w:styleId="Hyperlink">
    <w:name w:val="Hyperlink"/>
    <w:uiPriority w:val="99"/>
    <w:unhideWhenUsed/>
    <w:rsid w:val="00C56966"/>
    <w:rPr>
      <w:color w:val="0000FF"/>
      <w:u w:val="single"/>
    </w:rPr>
  </w:style>
  <w:style w:type="paragraph" w:customStyle="1" w:styleId="NoParagraphStyle">
    <w:name w:val="[No Paragraph Style]"/>
    <w:rsid w:val="00C611DC"/>
    <w:pPr>
      <w:autoSpaceDE w:val="0"/>
      <w:autoSpaceDN w:val="0"/>
      <w:adjustRightInd w:val="0"/>
      <w:spacing w:line="288" w:lineRule="auto"/>
      <w:textAlignment w:val="center"/>
    </w:pPr>
    <w:rPr>
      <w:rFonts w:ascii="Minion Pro" w:hAnsi="Minion Pro" w:cs="Minion Pro"/>
      <w:color w:val="000000"/>
      <w:sz w:val="24"/>
      <w:szCs w:val="24"/>
      <w:lang w:val="en-US"/>
    </w:rPr>
  </w:style>
  <w:style w:type="character" w:customStyle="1" w:styleId="ADRESSETELEPHONEMAIL">
    <w:name w:val="ADRESSE TELEPHONE MAIL"/>
    <w:uiPriority w:val="99"/>
    <w:rsid w:val="00C611DC"/>
    <w:rPr>
      <w:rFonts w:ascii="TheSerifLight-Plain" w:hAnsi="TheSerifLight-Plain" w:cs="TheSerifLight-Plain"/>
      <w:color w:val="000000"/>
      <w:sz w:val="16"/>
      <w:szCs w:val="16"/>
    </w:rPr>
  </w:style>
  <w:style w:type="paragraph" w:customStyle="1" w:styleId="IEASources">
    <w:name w:val="IEA_Sources"/>
    <w:basedOn w:val="Normal"/>
    <w:link w:val="IEASourcesChar"/>
    <w:qFormat/>
    <w:rsid w:val="00DF7F59"/>
    <w:pPr>
      <w:spacing w:before="40" w:after="0" w:line="240" w:lineRule="auto"/>
    </w:pPr>
    <w:rPr>
      <w:rFonts w:ascii="Arial" w:eastAsia="Malgun Gothic" w:hAnsi="Arial"/>
      <w:color w:val="1F497D"/>
      <w:sz w:val="16"/>
      <w:szCs w:val="16"/>
    </w:rPr>
  </w:style>
  <w:style w:type="character" w:customStyle="1" w:styleId="IEASourcesChar">
    <w:name w:val="IEA_Sources Char"/>
    <w:link w:val="IEASources"/>
    <w:rsid w:val="00DF7F59"/>
    <w:rPr>
      <w:rFonts w:ascii="Arial" w:eastAsia="Malgun Gothic" w:hAnsi="Arial"/>
      <w:color w:val="1F497D"/>
      <w:sz w:val="16"/>
      <w:szCs w:val="16"/>
      <w:lang w:eastAsia="en-US"/>
    </w:rPr>
  </w:style>
  <w:style w:type="character" w:styleId="UnresolvedMention">
    <w:name w:val="Unresolved Mention"/>
    <w:basedOn w:val="DefaultParagraphFont"/>
    <w:uiPriority w:val="99"/>
    <w:semiHidden/>
    <w:unhideWhenUsed/>
    <w:rsid w:val="00600297"/>
    <w:rPr>
      <w:color w:val="605E5C"/>
      <w:shd w:val="clear" w:color="auto" w:fill="E1DFDD"/>
    </w:rPr>
  </w:style>
  <w:style w:type="paragraph" w:customStyle="1" w:styleId="IEABodyText">
    <w:name w:val="IEA_Body Text"/>
    <w:basedOn w:val="Normal"/>
    <w:link w:val="IEABodyTextChar"/>
    <w:qFormat/>
    <w:rsid w:val="00E47195"/>
    <w:pPr>
      <w:spacing w:before="20" w:line="300" w:lineRule="auto"/>
      <w:ind w:left="851"/>
      <w:jc w:val="both"/>
    </w:pPr>
    <w:rPr>
      <w:rFonts w:ascii="Arial" w:hAnsi="Arial"/>
      <w:color w:val="000000"/>
      <w:szCs w:val="21"/>
    </w:rPr>
  </w:style>
  <w:style w:type="character" w:customStyle="1" w:styleId="IEABodyTextChar">
    <w:name w:val="IEA_Body Text Char"/>
    <w:link w:val="IEABodyText"/>
    <w:rsid w:val="00E47195"/>
    <w:rPr>
      <w:rFonts w:ascii="Arial" w:hAnsi="Arial"/>
      <w:color w:val="000000"/>
      <w:sz w:val="22"/>
      <w:szCs w:val="21"/>
      <w:lang w:eastAsia="en-US"/>
    </w:rPr>
  </w:style>
  <w:style w:type="paragraph" w:styleId="ListParagraph">
    <w:name w:val="List Paragraph"/>
    <w:basedOn w:val="Normal"/>
    <w:uiPriority w:val="34"/>
    <w:qFormat/>
    <w:rsid w:val="00E471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843655">
      <w:bodyDiv w:val="1"/>
      <w:marLeft w:val="0"/>
      <w:marRight w:val="0"/>
      <w:marTop w:val="0"/>
      <w:marBottom w:val="0"/>
      <w:divBdr>
        <w:top w:val="none" w:sz="0" w:space="0" w:color="auto"/>
        <w:left w:val="none" w:sz="0" w:space="0" w:color="auto"/>
        <w:bottom w:val="none" w:sz="0" w:space="0" w:color="auto"/>
        <w:right w:val="none" w:sz="0" w:space="0" w:color="auto"/>
      </w:divBdr>
    </w:div>
    <w:div w:id="665010976">
      <w:bodyDiv w:val="1"/>
      <w:marLeft w:val="0"/>
      <w:marRight w:val="0"/>
      <w:marTop w:val="0"/>
      <w:marBottom w:val="0"/>
      <w:divBdr>
        <w:top w:val="none" w:sz="0" w:space="0" w:color="auto"/>
        <w:left w:val="none" w:sz="0" w:space="0" w:color="auto"/>
        <w:bottom w:val="none" w:sz="0" w:space="0" w:color="auto"/>
        <w:right w:val="none" w:sz="0" w:space="0" w:color="auto"/>
      </w:divBdr>
    </w:div>
    <w:div w:id="132385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ea.org/reports/electricity-grids-and-secure-energy-transition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5FBAA270DD61408FD85D2A6E996548" ma:contentTypeVersion="15" ma:contentTypeDescription="Create a new document." ma:contentTypeScope="" ma:versionID="286471a1af1ba41c7f1226fbf64762f5">
  <xsd:schema xmlns:xsd="http://www.w3.org/2001/XMLSchema" xmlns:xs="http://www.w3.org/2001/XMLSchema" xmlns:p="http://schemas.microsoft.com/office/2006/metadata/properties" xmlns:ns3="897d04be-8b9b-4079-9385-f982d7a9f208" xmlns:ns4="e09fe41b-7fb0-4e33-a6ad-2f6b20da75eb" targetNamespace="http://schemas.microsoft.com/office/2006/metadata/properties" ma:root="true" ma:fieldsID="9e8acb0e82557d075ce18dfd08add21a" ns3:_="" ns4:_="">
    <xsd:import namespace="897d04be-8b9b-4079-9385-f982d7a9f208"/>
    <xsd:import namespace="e09fe41b-7fb0-4e33-a6ad-2f6b20da75e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d04be-8b9b-4079-9385-f982d7a9f2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9fe41b-7fb0-4e33-a6ad-2f6b20da75e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09fe41b-7fb0-4e33-a6ad-2f6b20da75e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6A8DD-9703-4EA2-8653-6728AD62B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7d04be-8b9b-4079-9385-f982d7a9f208"/>
    <ds:schemaRef ds:uri="e09fe41b-7fb0-4e33-a6ad-2f6b20da7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F34507-EF22-4CC0-A0A6-A591E0BFAD2C}">
  <ds:schemaRefs>
    <ds:schemaRef ds:uri="http://schemas.microsoft.com/sharepoint/v3/contenttype/forms"/>
  </ds:schemaRefs>
</ds:datastoreItem>
</file>

<file path=customXml/itemProps3.xml><?xml version="1.0" encoding="utf-8"?>
<ds:datastoreItem xmlns:ds="http://schemas.openxmlformats.org/officeDocument/2006/customXml" ds:itemID="{E3C42508-1DCF-4C61-80C3-8AC3008DABAE}">
  <ds:schemaRefs>
    <ds:schemaRef ds:uri="e09fe41b-7fb0-4e33-a6ad-2f6b20da75eb"/>
    <ds:schemaRef ds:uri="http://schemas.microsoft.com/office/infopath/2007/PartnerControls"/>
    <ds:schemaRef ds:uri="http://purl.org/dc/dcmitype/"/>
    <ds:schemaRef ds:uri="http://purl.org/dc/elements/1.1/"/>
    <ds:schemaRef ds:uri="http://schemas.microsoft.com/office/2006/documentManagement/types"/>
    <ds:schemaRef ds:uri="http://schemas.openxmlformats.org/package/2006/metadata/core-properties"/>
    <ds:schemaRef ds:uri="http://www.w3.org/XML/1998/namespace"/>
    <ds:schemaRef ds:uri="897d04be-8b9b-4079-9385-f982d7a9f208"/>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AB6C05A6-8E3C-437E-A872-4BA8ACA04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523</Words>
  <Characters>2795</Characters>
  <Application>Microsoft Office Word</Application>
  <DocSecurity>0</DocSecurity>
  <Lines>77</Lines>
  <Paragraphs>25</Paragraphs>
  <ScaleCrop>false</ScaleCrop>
  <HeadingPairs>
    <vt:vector size="2" baseType="variant">
      <vt:variant>
        <vt:lpstr>Title</vt:lpstr>
      </vt:variant>
      <vt:variant>
        <vt:i4>1</vt:i4>
      </vt:variant>
    </vt:vector>
  </HeadingPairs>
  <TitlesOfParts>
    <vt:vector size="1" baseType="lpstr">
      <vt:lpstr/>
    </vt:vector>
  </TitlesOfParts>
  <Company>International Energy Agency</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GULLY Christopher, IEA/EXD/EIO</dc:creator>
  <cp:lastModifiedBy>NONAIN-SEMELIN Isabelle, IEA/EXD/CDO/DNI</cp:lastModifiedBy>
  <cp:revision>2</cp:revision>
  <cp:lastPrinted>2019-06-12T10:26:00Z</cp:lastPrinted>
  <dcterms:created xsi:type="dcterms:W3CDTF">2023-11-09T16:48:00Z</dcterms:created>
  <dcterms:modified xsi:type="dcterms:W3CDTF">2023-11-09T16:48:00Z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0x010100D05FBAA270DD61408FD85D2A6E996548</vt:lpwstr>
  </property>
</Properties>
</file>