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FA4F" w14:textId="238B39C7" w:rsidR="00337F64" w:rsidRPr="00913D50" w:rsidRDefault="00337F64" w:rsidP="00337F64">
      <w:pPr>
        <w:pStyle w:val="Subtitle"/>
        <w:spacing w:after="120" w:line="240" w:lineRule="auto"/>
        <w:jc w:val="both"/>
        <w:rPr>
          <w:lang w:val="es-419"/>
        </w:rPr>
      </w:pPr>
      <w:bookmarkStart w:id="0" w:name="_yf2mwt5cx2jy" w:colFirst="0" w:colLast="0"/>
      <w:bookmarkStart w:id="1" w:name="_7zl11x4uoz1d" w:colFirst="0" w:colLast="0"/>
      <w:bookmarkEnd w:id="0"/>
      <w:bookmarkEnd w:id="1"/>
      <w:r w:rsidRPr="00913D50">
        <w:rPr>
          <w:lang w:val="es-419"/>
        </w:rPr>
        <w:t xml:space="preserve">Título </w:t>
      </w:r>
    </w:p>
    <w:p w14:paraId="0AFC370E" w14:textId="529957B3" w:rsidR="00337F64" w:rsidRPr="005379A6" w:rsidRDefault="00337F64" w:rsidP="00337F64">
      <w:pPr>
        <w:spacing w:line="240" w:lineRule="auto"/>
        <w:jc w:val="both"/>
        <w:rPr>
          <w:lang w:val="es-419"/>
        </w:rPr>
      </w:pPr>
      <w:r w:rsidRPr="005379A6">
        <w:rPr>
          <w:lang w:val="es-419"/>
        </w:rPr>
        <w:t>Mejora de la recopilación de datos de investigación, desarrollo y demonstración (ID+D)</w:t>
      </w:r>
      <w:r w:rsidR="00A63587" w:rsidRPr="005379A6">
        <w:rPr>
          <w:lang w:val="es-419"/>
        </w:rPr>
        <w:t xml:space="preserve"> públicos</w:t>
      </w:r>
      <w:r w:rsidRPr="005379A6">
        <w:rPr>
          <w:lang w:val="es-419"/>
        </w:rPr>
        <w:t>: la experiencia de países latinoamericanos</w:t>
      </w:r>
    </w:p>
    <w:p w14:paraId="6A34CF87" w14:textId="77777777" w:rsidR="00337F64" w:rsidRPr="00913D50" w:rsidRDefault="00337F64" w:rsidP="00337F64">
      <w:pPr>
        <w:spacing w:line="240" w:lineRule="auto"/>
        <w:jc w:val="both"/>
        <w:rPr>
          <w:lang w:val="es-419"/>
        </w:rPr>
      </w:pPr>
    </w:p>
    <w:p w14:paraId="070A6F99" w14:textId="4DBAA111" w:rsidR="00337F64" w:rsidRPr="00913D50" w:rsidRDefault="00035264" w:rsidP="00337F64">
      <w:pPr>
        <w:pStyle w:val="Subtitle"/>
        <w:spacing w:after="120" w:line="240" w:lineRule="auto"/>
        <w:jc w:val="both"/>
        <w:rPr>
          <w:lang w:val="es-419"/>
        </w:rPr>
      </w:pPr>
      <w:r>
        <w:rPr>
          <w:lang w:val="es-419"/>
        </w:rPr>
        <w:t>Fecha</w:t>
      </w:r>
    </w:p>
    <w:p w14:paraId="3667F63B" w14:textId="48435393" w:rsidR="00337F64" w:rsidRPr="00035264" w:rsidRDefault="00035264" w:rsidP="00337F64">
      <w:pPr>
        <w:spacing w:line="240" w:lineRule="auto"/>
        <w:jc w:val="both"/>
        <w:rPr>
          <w:lang w:val="es-419"/>
        </w:rPr>
      </w:pPr>
      <w:r w:rsidRPr="00035264">
        <w:rPr>
          <w:lang w:val="es-419"/>
        </w:rPr>
        <w:t>5 de septiembre (lunes</w:t>
      </w:r>
      <w:r>
        <w:rPr>
          <w:lang w:val="es-419"/>
        </w:rPr>
        <w:t>)</w:t>
      </w:r>
    </w:p>
    <w:p w14:paraId="1C6FCED2" w14:textId="77777777" w:rsidR="00127F61" w:rsidRPr="00913D50" w:rsidRDefault="00127F61" w:rsidP="00337F64">
      <w:pPr>
        <w:spacing w:line="240" w:lineRule="auto"/>
        <w:jc w:val="both"/>
        <w:rPr>
          <w:lang w:val="es-419"/>
        </w:rPr>
      </w:pPr>
    </w:p>
    <w:p w14:paraId="79DF347E" w14:textId="2CC7DD05" w:rsidR="00127F61" w:rsidRPr="005C57F8" w:rsidRDefault="00127F61" w:rsidP="00127F61">
      <w:pPr>
        <w:pStyle w:val="Subtitle"/>
        <w:spacing w:after="120" w:line="240" w:lineRule="auto"/>
        <w:jc w:val="both"/>
        <w:rPr>
          <w:lang w:val="es-419"/>
        </w:rPr>
      </w:pPr>
      <w:r w:rsidRPr="005C57F8">
        <w:rPr>
          <w:lang w:val="es-419"/>
        </w:rPr>
        <w:t>Hora</w:t>
      </w:r>
    </w:p>
    <w:p w14:paraId="02EDAF6D" w14:textId="1BF92219" w:rsidR="00127F61" w:rsidRPr="005C57F8" w:rsidRDefault="00127F61" w:rsidP="00127F61">
      <w:pPr>
        <w:spacing w:line="240" w:lineRule="auto"/>
        <w:jc w:val="both"/>
        <w:rPr>
          <w:lang w:val="es-419"/>
        </w:rPr>
      </w:pPr>
      <w:r w:rsidRPr="005C57F8">
        <w:rPr>
          <w:lang w:val="es-419"/>
        </w:rPr>
        <w:t>Hora de Brasilia</w:t>
      </w:r>
      <w:r w:rsidR="00E5362B" w:rsidRPr="005C57F8">
        <w:rPr>
          <w:lang w:val="es-419"/>
        </w:rPr>
        <w:t xml:space="preserve"> (</w:t>
      </w:r>
      <w:r w:rsidRPr="005C57F8">
        <w:rPr>
          <w:lang w:val="es-419"/>
        </w:rPr>
        <w:t>Brasil</w:t>
      </w:r>
      <w:r w:rsidR="00E5362B" w:rsidRPr="005C57F8">
        <w:rPr>
          <w:lang w:val="es-419"/>
        </w:rPr>
        <w:t>) y Santiago (Chile)</w:t>
      </w:r>
      <w:r w:rsidRPr="005C57F8">
        <w:rPr>
          <w:lang w:val="es-419"/>
        </w:rPr>
        <w:t>: 10h-11h30</w:t>
      </w:r>
    </w:p>
    <w:p w14:paraId="001CE280" w14:textId="0D653A77" w:rsidR="00127F61" w:rsidRPr="005C57F8" w:rsidRDefault="00127F61" w:rsidP="00127F61">
      <w:pPr>
        <w:spacing w:line="240" w:lineRule="auto"/>
        <w:jc w:val="both"/>
        <w:rPr>
          <w:lang w:val="es-419"/>
        </w:rPr>
      </w:pPr>
      <w:r w:rsidRPr="005C57F8">
        <w:rPr>
          <w:lang w:val="es-419"/>
        </w:rPr>
        <w:t xml:space="preserve">Hora de París, Francia: </w:t>
      </w:r>
      <w:r w:rsidR="00E5362B" w:rsidRPr="005C57F8">
        <w:rPr>
          <w:lang w:val="es-419"/>
        </w:rPr>
        <w:t>15</w:t>
      </w:r>
      <w:r w:rsidRPr="005C57F8">
        <w:rPr>
          <w:lang w:val="es-419"/>
        </w:rPr>
        <w:t>h-1</w:t>
      </w:r>
      <w:r w:rsidR="00E5362B" w:rsidRPr="005C57F8">
        <w:rPr>
          <w:lang w:val="es-419"/>
        </w:rPr>
        <w:t>6</w:t>
      </w:r>
      <w:r w:rsidRPr="005C57F8">
        <w:rPr>
          <w:lang w:val="es-419"/>
        </w:rPr>
        <w:t>h30</w:t>
      </w:r>
    </w:p>
    <w:p w14:paraId="7F80A0B2" w14:textId="1F6DC3BC" w:rsidR="00A47D66" w:rsidRPr="005C57F8" w:rsidRDefault="00A47D66" w:rsidP="00127F61">
      <w:pPr>
        <w:spacing w:line="240" w:lineRule="auto"/>
        <w:jc w:val="both"/>
        <w:rPr>
          <w:lang w:val="es-419"/>
        </w:rPr>
      </w:pPr>
      <w:r w:rsidRPr="005C57F8">
        <w:rPr>
          <w:lang w:val="es-419"/>
        </w:rPr>
        <w:t>Hora de Londres, Reino Unido: 14h-15h30</w:t>
      </w:r>
    </w:p>
    <w:p w14:paraId="4D5E115F" w14:textId="77777777" w:rsidR="00337F64" w:rsidRPr="005C57F8" w:rsidRDefault="00337F64" w:rsidP="00337F64">
      <w:pPr>
        <w:spacing w:line="240" w:lineRule="auto"/>
        <w:jc w:val="both"/>
        <w:rPr>
          <w:color w:val="FF0000"/>
          <w:lang w:val="es-419"/>
        </w:rPr>
      </w:pPr>
    </w:p>
    <w:p w14:paraId="2CCD3E7B" w14:textId="30ACC854" w:rsidR="00337F64" w:rsidRPr="00913D50" w:rsidRDefault="00337F64" w:rsidP="00337F64">
      <w:pPr>
        <w:pStyle w:val="Subtitle"/>
        <w:spacing w:after="120" w:line="240" w:lineRule="auto"/>
        <w:jc w:val="both"/>
        <w:rPr>
          <w:lang w:val="es-419"/>
        </w:rPr>
      </w:pPr>
      <w:bookmarkStart w:id="2" w:name="_fik2ui9gb000" w:colFirst="0" w:colLast="0"/>
      <w:bookmarkStart w:id="3" w:name="_vgwh3x5jn96e" w:colFirst="0" w:colLast="0"/>
      <w:bookmarkEnd w:id="2"/>
      <w:bookmarkEnd w:id="3"/>
      <w:r w:rsidRPr="00913D50">
        <w:rPr>
          <w:lang w:val="es-419"/>
        </w:rPr>
        <w:t>Coordinación</w:t>
      </w:r>
    </w:p>
    <w:p w14:paraId="58E2CDC6" w14:textId="39E37DAF" w:rsidR="00337F64" w:rsidRPr="00913D50" w:rsidRDefault="00337F64" w:rsidP="00337F64">
      <w:pPr>
        <w:spacing w:line="240" w:lineRule="auto"/>
        <w:jc w:val="both"/>
        <w:rPr>
          <w:lang w:val="es-419"/>
        </w:rPr>
      </w:pPr>
      <w:r w:rsidRPr="00913D50">
        <w:rPr>
          <w:lang w:val="es-419"/>
        </w:rPr>
        <w:t>Empresa Brasileña de Investigación Energética – EPE</w:t>
      </w:r>
    </w:p>
    <w:p w14:paraId="0FFCFDA6" w14:textId="194470B1" w:rsidR="00337F64" w:rsidRPr="00913D50" w:rsidRDefault="00337F64" w:rsidP="00337F64">
      <w:pPr>
        <w:spacing w:line="240" w:lineRule="auto"/>
        <w:jc w:val="both"/>
        <w:rPr>
          <w:lang w:val="es-419"/>
        </w:rPr>
      </w:pPr>
      <w:r w:rsidRPr="00913D50">
        <w:rPr>
          <w:lang w:val="es-419"/>
        </w:rPr>
        <w:t>Centro de Estudios y Gestión Estratégica– CGEE</w:t>
      </w:r>
    </w:p>
    <w:p w14:paraId="779B7F2D" w14:textId="536A2080" w:rsidR="00337F64" w:rsidRPr="00913D50" w:rsidRDefault="00337F64" w:rsidP="00337F64">
      <w:pPr>
        <w:spacing w:line="240" w:lineRule="auto"/>
        <w:jc w:val="both"/>
        <w:rPr>
          <w:lang w:val="es-419"/>
        </w:rPr>
      </w:pPr>
      <w:r w:rsidRPr="00913D50">
        <w:rPr>
          <w:lang w:val="es-419"/>
        </w:rPr>
        <w:t>Ministerio de Relaciones Exteriores de Brasil – MRE</w:t>
      </w:r>
    </w:p>
    <w:p w14:paraId="236AD231" w14:textId="06823389" w:rsidR="00337F64" w:rsidRPr="00913D50" w:rsidRDefault="00E91D3F" w:rsidP="00337F64">
      <w:pPr>
        <w:spacing w:line="240" w:lineRule="auto"/>
        <w:jc w:val="both"/>
        <w:rPr>
          <w:lang w:val="es-419"/>
        </w:rPr>
      </w:pPr>
      <w:r w:rsidRPr="00913D50">
        <w:rPr>
          <w:lang w:val="es-419"/>
        </w:rPr>
        <w:t>Ministerio de Energía de</w:t>
      </w:r>
      <w:r w:rsidR="00337F64" w:rsidRPr="00913D50">
        <w:rPr>
          <w:lang w:val="es-419"/>
        </w:rPr>
        <w:t xml:space="preserve"> Chile</w:t>
      </w:r>
    </w:p>
    <w:p w14:paraId="540E6A8E" w14:textId="5265EFDD" w:rsidR="00337F64" w:rsidRPr="00C36C9B" w:rsidRDefault="00337F64" w:rsidP="00337F64">
      <w:pPr>
        <w:spacing w:line="240" w:lineRule="auto"/>
        <w:jc w:val="both"/>
        <w:rPr>
          <w:lang w:val="es-419"/>
        </w:rPr>
      </w:pPr>
      <w:r w:rsidRPr="00C36C9B">
        <w:rPr>
          <w:lang w:val="es-419"/>
        </w:rPr>
        <w:t>Institución de México – por confirmar</w:t>
      </w:r>
    </w:p>
    <w:p w14:paraId="481AB1BC" w14:textId="68BD3FB2" w:rsidR="00337F64" w:rsidRPr="00913D50" w:rsidRDefault="00337F64" w:rsidP="00337F64">
      <w:pPr>
        <w:spacing w:line="240" w:lineRule="auto"/>
        <w:jc w:val="both"/>
        <w:rPr>
          <w:lang w:val="es-419"/>
        </w:rPr>
      </w:pPr>
      <w:r w:rsidRPr="00C36C9B">
        <w:rPr>
          <w:lang w:val="es-419"/>
        </w:rPr>
        <w:t xml:space="preserve">Comisión Económica para América Latina </w:t>
      </w:r>
      <w:r w:rsidRPr="00913D50">
        <w:rPr>
          <w:lang w:val="es-419"/>
        </w:rPr>
        <w:t>y el Caribe – CEPAL</w:t>
      </w:r>
    </w:p>
    <w:p w14:paraId="43216592" w14:textId="113FA71B" w:rsidR="00337F64" w:rsidRPr="00913D50" w:rsidRDefault="00337F64" w:rsidP="00337F64">
      <w:pPr>
        <w:spacing w:line="240" w:lineRule="auto"/>
        <w:jc w:val="both"/>
        <w:rPr>
          <w:lang w:val="es-419"/>
        </w:rPr>
      </w:pPr>
      <w:r w:rsidRPr="00913D50">
        <w:rPr>
          <w:lang w:val="es-419"/>
        </w:rPr>
        <w:t xml:space="preserve">Agencia Internacional de Energía – </w:t>
      </w:r>
      <w:r w:rsidR="006D259B" w:rsidRPr="00913D50">
        <w:rPr>
          <w:lang w:val="es-419"/>
        </w:rPr>
        <w:t>AIE/</w:t>
      </w:r>
      <w:r w:rsidRPr="00913D50">
        <w:rPr>
          <w:lang w:val="es-419"/>
        </w:rPr>
        <w:t>IEA</w:t>
      </w:r>
    </w:p>
    <w:p w14:paraId="73425792" w14:textId="77777777" w:rsidR="00337F64" w:rsidRPr="00913D50" w:rsidRDefault="00337F64" w:rsidP="00337F64">
      <w:pPr>
        <w:spacing w:line="240" w:lineRule="auto"/>
        <w:jc w:val="both"/>
        <w:rPr>
          <w:lang w:val="es-419"/>
        </w:rPr>
      </w:pPr>
    </w:p>
    <w:p w14:paraId="53266B75" w14:textId="5849867A" w:rsidR="00337F64" w:rsidRPr="00913D50" w:rsidRDefault="00337F64" w:rsidP="00337F64">
      <w:pPr>
        <w:spacing w:after="120" w:line="240" w:lineRule="auto"/>
        <w:jc w:val="both"/>
        <w:rPr>
          <w:lang w:val="es-419"/>
        </w:rPr>
      </w:pPr>
      <w:r w:rsidRPr="00913D50">
        <w:rPr>
          <w:color w:val="666666"/>
          <w:sz w:val="30"/>
          <w:szCs w:val="30"/>
          <w:lang w:val="es-419"/>
        </w:rPr>
        <w:t>Apoyo</w:t>
      </w:r>
    </w:p>
    <w:p w14:paraId="03F5453E" w14:textId="60DAB411" w:rsidR="00337F64" w:rsidRPr="00C36C9B" w:rsidRDefault="00337F64" w:rsidP="00337F64">
      <w:pPr>
        <w:spacing w:line="240" w:lineRule="auto"/>
        <w:jc w:val="both"/>
        <w:rPr>
          <w:lang w:val="es-419"/>
        </w:rPr>
      </w:pPr>
      <w:proofErr w:type="spellStart"/>
      <w:r w:rsidRPr="00C36C9B">
        <w:rPr>
          <w:lang w:val="es-419"/>
        </w:rPr>
        <w:t>Mission</w:t>
      </w:r>
      <w:proofErr w:type="spellEnd"/>
      <w:r w:rsidRPr="00C36C9B">
        <w:rPr>
          <w:lang w:val="es-419"/>
        </w:rPr>
        <w:t xml:space="preserve"> Innovation – MI </w:t>
      </w:r>
      <w:r w:rsidR="004E69E9" w:rsidRPr="00C36C9B">
        <w:rPr>
          <w:lang w:val="es-419"/>
        </w:rPr>
        <w:t>– por confirmar</w:t>
      </w:r>
    </w:p>
    <w:p w14:paraId="736E17EA" w14:textId="551884C8" w:rsidR="00337F64" w:rsidRPr="00913D50" w:rsidRDefault="00337F64" w:rsidP="00337F64">
      <w:pPr>
        <w:spacing w:line="240" w:lineRule="auto"/>
        <w:jc w:val="both"/>
        <w:rPr>
          <w:lang w:val="es-419"/>
        </w:rPr>
      </w:pPr>
      <w:r w:rsidRPr="00913D50">
        <w:rPr>
          <w:lang w:val="es-419"/>
        </w:rPr>
        <w:t>Programa EUROCLIMA+</w:t>
      </w:r>
    </w:p>
    <w:p w14:paraId="61985548" w14:textId="77777777" w:rsidR="00337F64" w:rsidRPr="00913D50" w:rsidRDefault="00337F64" w:rsidP="00337F64">
      <w:pPr>
        <w:spacing w:line="240" w:lineRule="auto"/>
        <w:jc w:val="both"/>
        <w:rPr>
          <w:lang w:val="es-419"/>
        </w:rPr>
      </w:pPr>
      <w:r w:rsidRPr="00913D50">
        <w:rPr>
          <w:lang w:val="es-419"/>
        </w:rPr>
        <w:t>Foro Regional de Planificadores Energéticos (FOREPLEN)</w:t>
      </w:r>
    </w:p>
    <w:p w14:paraId="2C0C8CF0" w14:textId="77777777" w:rsidR="00337F64" w:rsidRPr="00913D50" w:rsidRDefault="00337F64" w:rsidP="00337F64">
      <w:pPr>
        <w:spacing w:line="240" w:lineRule="auto"/>
        <w:jc w:val="both"/>
        <w:rPr>
          <w:lang w:val="es-419"/>
        </w:rPr>
      </w:pPr>
      <w:proofErr w:type="spellStart"/>
      <w:r w:rsidRPr="00913D50">
        <w:rPr>
          <w:lang w:val="es-419"/>
        </w:rPr>
        <w:t>GET.Transform</w:t>
      </w:r>
      <w:proofErr w:type="spellEnd"/>
    </w:p>
    <w:p w14:paraId="7887AE99" w14:textId="77777777" w:rsidR="00337F64" w:rsidRPr="00913D50" w:rsidRDefault="00337F64" w:rsidP="00337F64">
      <w:pPr>
        <w:spacing w:line="240" w:lineRule="auto"/>
        <w:jc w:val="both"/>
        <w:rPr>
          <w:lang w:val="es-419"/>
        </w:rPr>
      </w:pPr>
      <w:bookmarkStart w:id="4" w:name="_kxb4dohs43o7" w:colFirst="0" w:colLast="0"/>
      <w:bookmarkEnd w:id="4"/>
    </w:p>
    <w:p w14:paraId="08421481" w14:textId="786887C1" w:rsidR="00337F64" w:rsidRPr="00913D50" w:rsidRDefault="00337F64" w:rsidP="00337F64">
      <w:pPr>
        <w:pStyle w:val="Subtitle"/>
        <w:spacing w:after="120" w:line="240" w:lineRule="auto"/>
        <w:jc w:val="both"/>
        <w:rPr>
          <w:lang w:val="es-419"/>
        </w:rPr>
      </w:pPr>
      <w:r w:rsidRPr="00913D50">
        <w:rPr>
          <w:lang w:val="es-419"/>
        </w:rPr>
        <w:t>Puntos focales</w:t>
      </w:r>
    </w:p>
    <w:p w14:paraId="6A194226" w14:textId="77777777" w:rsidR="00337F64" w:rsidRPr="00913D50" w:rsidRDefault="00337F64" w:rsidP="00337F64">
      <w:pPr>
        <w:spacing w:line="240" w:lineRule="auto"/>
        <w:jc w:val="both"/>
        <w:rPr>
          <w:lang w:val="es-419"/>
        </w:rPr>
      </w:pPr>
      <w:r w:rsidRPr="00913D50">
        <w:rPr>
          <w:lang w:val="es-419"/>
        </w:rPr>
        <w:t xml:space="preserve">Gustavo Naciff (EPE): gustavo.andrade@epe.gov.br </w:t>
      </w:r>
    </w:p>
    <w:p w14:paraId="660B88DD" w14:textId="77777777" w:rsidR="00337F64" w:rsidRPr="00035264" w:rsidRDefault="00337F64" w:rsidP="00337F64">
      <w:pPr>
        <w:spacing w:line="240" w:lineRule="auto"/>
        <w:jc w:val="both"/>
        <w:rPr>
          <w:lang w:val="es-419"/>
        </w:rPr>
      </w:pPr>
      <w:r w:rsidRPr="00035264">
        <w:rPr>
          <w:lang w:val="es-419"/>
        </w:rPr>
        <w:t xml:space="preserve">Camila Ferraz (EPE): </w:t>
      </w:r>
      <w:hyperlink r:id="rId7" w:history="1">
        <w:r w:rsidRPr="00035264">
          <w:rPr>
            <w:lang w:val="es-419"/>
          </w:rPr>
          <w:t>camila.ferraz@epe.gov.br</w:t>
        </w:r>
      </w:hyperlink>
      <w:r w:rsidRPr="00035264">
        <w:rPr>
          <w:lang w:val="es-419"/>
        </w:rPr>
        <w:t xml:space="preserve">   </w:t>
      </w:r>
    </w:p>
    <w:p w14:paraId="638E770D" w14:textId="77777777" w:rsidR="00337F64" w:rsidRPr="00187C4A" w:rsidRDefault="00337F64" w:rsidP="00337F64">
      <w:pPr>
        <w:spacing w:line="240" w:lineRule="auto"/>
        <w:jc w:val="both"/>
      </w:pPr>
      <w:r w:rsidRPr="00187C4A">
        <w:t xml:space="preserve">Marcelo Poppe (CGEE): mpoppe@cgee.org.br </w:t>
      </w:r>
    </w:p>
    <w:p w14:paraId="6B7A15B9" w14:textId="77777777" w:rsidR="00337F64" w:rsidRPr="00187C4A" w:rsidRDefault="00337F64" w:rsidP="00337F64">
      <w:pPr>
        <w:spacing w:line="240" w:lineRule="auto"/>
        <w:jc w:val="both"/>
      </w:pPr>
      <w:r w:rsidRPr="00187C4A">
        <w:t>Barbara Bressan (CGEE): bbressan@cgee.org.br</w:t>
      </w:r>
    </w:p>
    <w:p w14:paraId="45A0388B" w14:textId="3C07285B" w:rsidR="00337F64" w:rsidRPr="00187C4A" w:rsidRDefault="00337F64" w:rsidP="00337F64">
      <w:pPr>
        <w:spacing w:line="240" w:lineRule="auto"/>
        <w:jc w:val="both"/>
      </w:pPr>
      <w:r w:rsidRPr="00187C4A">
        <w:t>Mariana Fonseca (</w:t>
      </w:r>
      <w:r w:rsidR="00B64956" w:rsidRPr="00187C4A">
        <w:t>MRE Brazil</w:t>
      </w:r>
      <w:r w:rsidRPr="00187C4A">
        <w:t>): mariana.fonseca@itamaraty.gov.br</w:t>
      </w:r>
    </w:p>
    <w:p w14:paraId="2EA5FA59" w14:textId="410D0CD5" w:rsidR="00337F64" w:rsidRPr="00413162" w:rsidRDefault="009B5A70" w:rsidP="00337F64">
      <w:pPr>
        <w:spacing w:line="240" w:lineRule="auto"/>
        <w:jc w:val="both"/>
      </w:pPr>
      <w:r w:rsidRPr="00187C4A">
        <w:t>Charlotte Pertier Navarrete</w:t>
      </w:r>
      <w:r w:rsidR="00D717C7" w:rsidRPr="00187C4A">
        <w:t xml:space="preserve"> (Ministerio de </w:t>
      </w:r>
      <w:r w:rsidR="00D717C7" w:rsidRPr="00413162">
        <w:t>Energía de Chile)</w:t>
      </w:r>
      <w:r w:rsidR="00337F64" w:rsidRPr="00413162">
        <w:t xml:space="preserve">: </w:t>
      </w:r>
      <w:r w:rsidR="00910454" w:rsidRPr="00413162">
        <w:t>cpertier@minenergia.cl</w:t>
      </w:r>
    </w:p>
    <w:p w14:paraId="3081F79C" w14:textId="1B786526" w:rsidR="00337F64" w:rsidRPr="00035264" w:rsidRDefault="00B64956" w:rsidP="00337F64">
      <w:pPr>
        <w:spacing w:line="240" w:lineRule="auto"/>
        <w:jc w:val="both"/>
      </w:pPr>
      <w:r w:rsidRPr="00035264">
        <w:t>Punto focal de</w:t>
      </w:r>
      <w:r w:rsidR="00337F64" w:rsidRPr="00035264">
        <w:t xml:space="preserve"> M</w:t>
      </w:r>
      <w:r w:rsidRPr="00035264">
        <w:t>é</w:t>
      </w:r>
      <w:r w:rsidR="00337F64" w:rsidRPr="00035264">
        <w:t xml:space="preserve">xico: </w:t>
      </w:r>
      <w:r w:rsidRPr="00035264">
        <w:t>por confirmar</w:t>
      </w:r>
    </w:p>
    <w:p w14:paraId="0504D5E5" w14:textId="77777777" w:rsidR="00337F64" w:rsidRPr="00187C4A" w:rsidRDefault="00337F64" w:rsidP="00337F64">
      <w:pPr>
        <w:spacing w:line="240" w:lineRule="auto"/>
        <w:jc w:val="both"/>
      </w:pPr>
      <w:r w:rsidRPr="00187C4A">
        <w:t>Camila Gramkow (CEPAL): camila.gramkow@cepal.org</w:t>
      </w:r>
    </w:p>
    <w:p w14:paraId="258E6AD7" w14:textId="77777777" w:rsidR="00337F64" w:rsidRPr="00913D50" w:rsidRDefault="00337F64" w:rsidP="00337F64">
      <w:pPr>
        <w:spacing w:line="240" w:lineRule="auto"/>
        <w:jc w:val="both"/>
        <w:rPr>
          <w:rFonts w:eastAsia="Times New Roman"/>
          <w:lang w:val="es-419" w:eastAsia="pt-BR"/>
        </w:rPr>
      </w:pPr>
      <w:r w:rsidRPr="00913D50">
        <w:rPr>
          <w:rFonts w:eastAsia="Times New Roman"/>
          <w:lang w:val="es-419" w:eastAsia="pt-BR"/>
        </w:rPr>
        <w:t xml:space="preserve">Amalia PIZARRO (IEA): Amalia.PIZARRO@iea.org </w:t>
      </w:r>
    </w:p>
    <w:p w14:paraId="63A579DE" w14:textId="77777777" w:rsidR="00337F64" w:rsidRPr="00913D50" w:rsidRDefault="00337F64" w:rsidP="00337F64">
      <w:pPr>
        <w:spacing w:line="240" w:lineRule="auto"/>
        <w:jc w:val="both"/>
        <w:rPr>
          <w:lang w:val="es-419"/>
        </w:rPr>
      </w:pPr>
      <w:r w:rsidRPr="00913D50">
        <w:rPr>
          <w:rFonts w:eastAsia="Times New Roman"/>
          <w:lang w:val="es-419" w:eastAsia="pt-BR"/>
        </w:rPr>
        <w:t xml:space="preserve">Suzy </w:t>
      </w:r>
      <w:proofErr w:type="spellStart"/>
      <w:r w:rsidRPr="00913D50">
        <w:rPr>
          <w:rFonts w:eastAsia="Times New Roman"/>
          <w:lang w:val="es-419" w:eastAsia="pt-BR"/>
        </w:rPr>
        <w:t>Leprince</w:t>
      </w:r>
      <w:proofErr w:type="spellEnd"/>
      <w:r w:rsidRPr="00913D50">
        <w:rPr>
          <w:rFonts w:eastAsia="Times New Roman"/>
          <w:lang w:val="es-419" w:eastAsia="pt-BR"/>
        </w:rPr>
        <w:t xml:space="preserve"> (IEA): Suzy.LEPRINCE@iea.org</w:t>
      </w:r>
    </w:p>
    <w:p w14:paraId="5E412997" w14:textId="77777777" w:rsidR="00337F64" w:rsidRPr="00913D50" w:rsidRDefault="00337F64" w:rsidP="00337F64">
      <w:pPr>
        <w:spacing w:line="240" w:lineRule="auto"/>
        <w:jc w:val="both"/>
        <w:rPr>
          <w:lang w:val="es-419"/>
        </w:rPr>
      </w:pPr>
    </w:p>
    <w:p w14:paraId="04E56DEF" w14:textId="4CCC578F" w:rsidR="00337F64" w:rsidRPr="00913D50" w:rsidRDefault="00337F64" w:rsidP="00337F64">
      <w:pPr>
        <w:pStyle w:val="Subtitle"/>
        <w:spacing w:after="120" w:line="240" w:lineRule="auto"/>
        <w:jc w:val="both"/>
        <w:rPr>
          <w:lang w:val="es-419"/>
        </w:rPr>
      </w:pPr>
      <w:bookmarkStart w:id="5" w:name="_8dvtq5yr4nda" w:colFirst="0" w:colLast="0"/>
      <w:bookmarkEnd w:id="5"/>
      <w:r w:rsidRPr="00913D50">
        <w:rPr>
          <w:lang w:val="es-419"/>
        </w:rPr>
        <w:t>Objetiv</w:t>
      </w:r>
      <w:r w:rsidR="00B64956" w:rsidRPr="00913D50">
        <w:rPr>
          <w:lang w:val="es-419"/>
        </w:rPr>
        <w:t>o</w:t>
      </w:r>
    </w:p>
    <w:p w14:paraId="3DA3B0DC" w14:textId="73594291" w:rsidR="00337F64" w:rsidRPr="00913D50" w:rsidRDefault="00B64956" w:rsidP="00B64956">
      <w:pPr>
        <w:spacing w:after="240" w:line="240" w:lineRule="auto"/>
        <w:jc w:val="both"/>
        <w:rPr>
          <w:lang w:val="es-419"/>
        </w:rPr>
      </w:pPr>
      <w:r w:rsidRPr="00913D50">
        <w:rPr>
          <w:lang w:val="es-419"/>
        </w:rPr>
        <w:t xml:space="preserve">Facilitar la difusión de conocimientos y promover una oportunidad para el intercambio entre pares relacionado con los esfuerzos y metodologías para rastrear las inversiones en innovación de energía limpia en países latinoamericanos seleccionados (Brasil, Chile y México), bien como interactuar con los demás miembros de </w:t>
      </w:r>
      <w:proofErr w:type="spellStart"/>
      <w:r w:rsidRPr="00913D50">
        <w:rPr>
          <w:lang w:val="es-419"/>
        </w:rPr>
        <w:t>Mission</w:t>
      </w:r>
      <w:proofErr w:type="spellEnd"/>
      <w:r w:rsidRPr="00913D50">
        <w:rPr>
          <w:lang w:val="es-419"/>
        </w:rPr>
        <w:t xml:space="preserve"> Innovation y países interesados, por medio del intercambio de experiencias sobre el estado y los procesos de mapeo de innovación en energía limpia.</w:t>
      </w:r>
    </w:p>
    <w:p w14:paraId="4BC4B0AD" w14:textId="694E0E1D" w:rsidR="00337F64" w:rsidRPr="00913D50" w:rsidRDefault="00337F64" w:rsidP="00337F64">
      <w:pPr>
        <w:pStyle w:val="Subtitle"/>
        <w:spacing w:after="120" w:line="240" w:lineRule="auto"/>
        <w:jc w:val="both"/>
        <w:rPr>
          <w:lang w:val="es-419"/>
        </w:rPr>
      </w:pPr>
      <w:bookmarkStart w:id="6" w:name="_1regm22h0wz0" w:colFirst="0" w:colLast="0"/>
      <w:bookmarkEnd w:id="6"/>
      <w:r w:rsidRPr="00913D50">
        <w:rPr>
          <w:lang w:val="es-419"/>
        </w:rPr>
        <w:lastRenderedPageBreak/>
        <w:t>Context</w:t>
      </w:r>
      <w:r w:rsidR="00B64956" w:rsidRPr="00913D50">
        <w:rPr>
          <w:lang w:val="es-419"/>
        </w:rPr>
        <w:t>o</w:t>
      </w:r>
      <w:r w:rsidRPr="00913D50">
        <w:rPr>
          <w:lang w:val="es-419"/>
        </w:rPr>
        <w:t xml:space="preserve"> (</w:t>
      </w:r>
      <w:r w:rsidR="00B64956" w:rsidRPr="00913D50">
        <w:rPr>
          <w:lang w:val="es-419"/>
        </w:rPr>
        <w:t>preliminar</w:t>
      </w:r>
      <w:r w:rsidRPr="00913D50">
        <w:rPr>
          <w:lang w:val="es-419"/>
        </w:rPr>
        <w:t>)</w:t>
      </w:r>
    </w:p>
    <w:p w14:paraId="2E856599" w14:textId="76B303BD" w:rsidR="00DB15FB" w:rsidRPr="00913D50" w:rsidRDefault="00DB15FB" w:rsidP="00337F64">
      <w:pPr>
        <w:spacing w:line="240" w:lineRule="auto"/>
        <w:jc w:val="both"/>
        <w:rPr>
          <w:lang w:val="es-419"/>
        </w:rPr>
      </w:pPr>
      <w:r w:rsidRPr="00913D50">
        <w:rPr>
          <w:lang w:val="es-419"/>
        </w:rPr>
        <w:t>Esta actividad tiene como objetivo contribuir a responder varias preguntas clave que pueden ayudar a los países a acelerar las inversiones en innovación de energía limpia en los países de América Latina y más allá. ¿Cuánto y en qué tecnologías energéticas están invirtiendo los países? ¿Cuáles son los indicadores clave que pueden guiar y apoyar la toma de decisiones con respecto a las inversiones en innovación de energía limpia? ¿Cuáles son los principales instrumentos y mecanismos de política pública que los países han venido adoptando para promover estas inversiones y cómo podrían mejorarse? ¿Cómo se organizaron Brasil, Chile y México para reportar datos de ID+</w:t>
      </w:r>
      <w:r w:rsidR="005418FD" w:rsidRPr="00913D50">
        <w:rPr>
          <w:lang w:val="es-419"/>
        </w:rPr>
        <w:t>D</w:t>
      </w:r>
      <w:r w:rsidRPr="00913D50">
        <w:rPr>
          <w:lang w:val="es-419"/>
        </w:rPr>
        <w:t>? ¿Cuáles fueron los principales desafíos y resultados de este proceso? ¿Qué podrían aprender de la experiencia de estos países los países que aún no monitorean ni rastrean los datos de innovación energética?</w:t>
      </w:r>
    </w:p>
    <w:p w14:paraId="4CA361C5" w14:textId="77777777" w:rsidR="007813D5" w:rsidRPr="00913D50" w:rsidRDefault="007813D5" w:rsidP="00337F64">
      <w:pPr>
        <w:spacing w:line="240" w:lineRule="auto"/>
        <w:jc w:val="both"/>
        <w:rPr>
          <w:lang w:val="es-419"/>
        </w:rPr>
      </w:pPr>
    </w:p>
    <w:p w14:paraId="53BAC4FF" w14:textId="439FD052" w:rsidR="00337F64" w:rsidRPr="00913D50" w:rsidRDefault="007813D5" w:rsidP="00337F64">
      <w:pPr>
        <w:spacing w:line="240" w:lineRule="auto"/>
        <w:jc w:val="both"/>
        <w:rPr>
          <w:lang w:val="es-419"/>
        </w:rPr>
      </w:pPr>
      <w:r w:rsidRPr="00913D50">
        <w:rPr>
          <w:lang w:val="es-419"/>
        </w:rPr>
        <w:t xml:space="preserve">A modo de breve reseña sobre Brasil, la Comisión Económica para América Latina y el Caribe (CEPAL) de las Naciones Unidas ha estado apoyando al Centro de Estudios y Gestión Estratégica (CGEE) y a la </w:t>
      </w:r>
      <w:r w:rsidR="00385167" w:rsidRPr="00913D50">
        <w:rPr>
          <w:lang w:val="es-419"/>
        </w:rPr>
        <w:t>Empresa</w:t>
      </w:r>
      <w:r w:rsidRPr="00913D50">
        <w:rPr>
          <w:lang w:val="es-419"/>
        </w:rPr>
        <w:t xml:space="preserve"> de Investigación Energética (EPE) de Brasil </w:t>
      </w:r>
      <w:r w:rsidR="00DE6A55" w:rsidRPr="00913D50">
        <w:rPr>
          <w:lang w:val="es-419"/>
        </w:rPr>
        <w:t xml:space="preserve">en la </w:t>
      </w:r>
      <w:r w:rsidRPr="00913D50">
        <w:rPr>
          <w:lang w:val="es-419"/>
        </w:rPr>
        <w:t>mejora la base de datos de</w:t>
      </w:r>
      <w:r w:rsidR="00C9487F" w:rsidRPr="00913D50">
        <w:rPr>
          <w:lang w:val="es-419"/>
        </w:rPr>
        <w:t>l</w:t>
      </w:r>
      <w:r w:rsidRPr="00913D50">
        <w:rPr>
          <w:lang w:val="es-419"/>
        </w:rPr>
        <w:t xml:space="preserve"> </w:t>
      </w:r>
      <w:r w:rsidR="00C9487F" w:rsidRPr="00913D50">
        <w:rPr>
          <w:lang w:val="es-419"/>
        </w:rPr>
        <w:t>país</w:t>
      </w:r>
      <w:r w:rsidRPr="00913D50">
        <w:rPr>
          <w:lang w:val="es-419"/>
        </w:rPr>
        <w:t xml:space="preserve"> sobre inversiones en innovación de energía limpia </w:t>
      </w:r>
      <w:r w:rsidR="00CA5491" w:rsidRPr="00913D50">
        <w:rPr>
          <w:lang w:val="es-419"/>
        </w:rPr>
        <w:t>por medio</w:t>
      </w:r>
      <w:r w:rsidRPr="00913D50">
        <w:rPr>
          <w:lang w:val="es-419"/>
        </w:rPr>
        <w:t xml:space="preserve"> de la iniciativa </w:t>
      </w:r>
      <w:r w:rsidRPr="00913D50">
        <w:rPr>
          <w:i/>
          <w:iCs/>
          <w:lang w:val="es-419"/>
        </w:rPr>
        <w:t xml:space="preserve">Energy Big </w:t>
      </w:r>
      <w:proofErr w:type="spellStart"/>
      <w:r w:rsidRPr="00913D50">
        <w:rPr>
          <w:i/>
          <w:iCs/>
          <w:lang w:val="es-419"/>
        </w:rPr>
        <w:t>Push</w:t>
      </w:r>
      <w:proofErr w:type="spellEnd"/>
      <w:r w:rsidRPr="00913D50">
        <w:rPr>
          <w:lang w:val="es-419"/>
        </w:rPr>
        <w:t xml:space="preserve"> (EBP</w:t>
      </w:r>
      <w:r w:rsidR="008F4CF6" w:rsidRPr="00913D50">
        <w:rPr>
          <w:lang w:val="es-419"/>
        </w:rPr>
        <w:t>, Gran Impulso Energía</w:t>
      </w:r>
      <w:r w:rsidRPr="00913D50">
        <w:rPr>
          <w:lang w:val="es-419"/>
        </w:rPr>
        <w:t xml:space="preserve">). Esto ha contribuido al flujo de trabajo de seguimiento del progreso en la primera fase de </w:t>
      </w:r>
      <w:proofErr w:type="spellStart"/>
      <w:r w:rsidRPr="00913D50">
        <w:rPr>
          <w:lang w:val="es-419"/>
        </w:rPr>
        <w:t>Mission</w:t>
      </w:r>
      <w:proofErr w:type="spellEnd"/>
      <w:r w:rsidRPr="00913D50">
        <w:rPr>
          <w:lang w:val="es-419"/>
        </w:rPr>
        <w:t xml:space="preserve"> Innovation, el principal foro mundial donde los gobiernos se conectan para acelerar la innovación en energía limpia.</w:t>
      </w:r>
    </w:p>
    <w:p w14:paraId="6507A012" w14:textId="7094BAE9" w:rsidR="006D259B" w:rsidRPr="00913D50" w:rsidRDefault="006D259B" w:rsidP="00337F64">
      <w:pPr>
        <w:spacing w:line="240" w:lineRule="auto"/>
        <w:jc w:val="both"/>
        <w:rPr>
          <w:lang w:val="es-419"/>
        </w:rPr>
      </w:pPr>
    </w:p>
    <w:p w14:paraId="14D37DD3" w14:textId="7FF9DB6E" w:rsidR="006D259B" w:rsidRPr="00913D50" w:rsidRDefault="006D259B" w:rsidP="00337F64">
      <w:pPr>
        <w:spacing w:line="240" w:lineRule="auto"/>
        <w:jc w:val="both"/>
        <w:rPr>
          <w:lang w:val="es-419"/>
        </w:rPr>
      </w:pPr>
      <w:r w:rsidRPr="00913D50">
        <w:rPr>
          <w:lang w:val="es-419"/>
        </w:rPr>
        <w:t>Recientemente, Brasil también formó parte, por primera vez, de la publicación más importante de la Agencia Internacional de Energía (AIE) sobre Presupuestos de Investigación, Desarrollo y Demostración (ID</w:t>
      </w:r>
      <w:r w:rsidR="00A9081E" w:rsidRPr="00913D50">
        <w:rPr>
          <w:lang w:val="es-419"/>
        </w:rPr>
        <w:t>+</w:t>
      </w:r>
      <w:r w:rsidRPr="00913D50">
        <w:rPr>
          <w:lang w:val="es-419"/>
        </w:rPr>
        <w:t>D), a partir de información generada en el ámbito de la EBP.</w:t>
      </w:r>
    </w:p>
    <w:p w14:paraId="4B2F4B28" w14:textId="78537CA6" w:rsidR="00A9081E" w:rsidRPr="00913D50" w:rsidRDefault="00A9081E" w:rsidP="00337F64">
      <w:pPr>
        <w:spacing w:before="240" w:after="120" w:line="240" w:lineRule="auto"/>
        <w:jc w:val="both"/>
        <w:rPr>
          <w:lang w:val="es-419"/>
        </w:rPr>
      </w:pPr>
      <w:r w:rsidRPr="00913D50">
        <w:rPr>
          <w:lang w:val="es-419"/>
        </w:rPr>
        <w:t>La IEA ha recopilado datos sobre ID+D públicos a partir de 1974 como parte de su trabajo más amplio de recopilación de estadísticas energéticas. La base de datos se publica</w:t>
      </w:r>
      <w:r w:rsidR="00572D49" w:rsidRPr="00913D50">
        <w:rPr>
          <w:rStyle w:val="FootnoteReference"/>
          <w:lang w:val="es-419"/>
        </w:rPr>
        <w:footnoteReference w:id="1"/>
      </w:r>
      <w:r w:rsidR="00572D49" w:rsidRPr="00913D50">
        <w:rPr>
          <w:lang w:val="es-419"/>
        </w:rPr>
        <w:t xml:space="preserve"> </w:t>
      </w:r>
      <w:r w:rsidRPr="00913D50">
        <w:rPr>
          <w:lang w:val="es-419"/>
        </w:rPr>
        <w:t>dos veces al año e históricamente ha incluido a miembros de la AIE, incluido México. Por primera vez en 2021 ha ampliado su cobertura al incluir a Brasil, país asociado, y estaría dispuest</w:t>
      </w:r>
      <w:r w:rsidR="00AE1B9A" w:rsidRPr="00913D50">
        <w:rPr>
          <w:lang w:val="es-419"/>
        </w:rPr>
        <w:t>a</w:t>
      </w:r>
      <w:r w:rsidRPr="00913D50">
        <w:rPr>
          <w:lang w:val="es-419"/>
        </w:rPr>
        <w:t xml:space="preserve"> a apoyar a otros países de América Latina y el Caribe en la recopilación de datos de ID+D</w:t>
      </w:r>
      <w:r w:rsidR="00F13647" w:rsidRPr="00913D50">
        <w:rPr>
          <w:lang w:val="es-419"/>
        </w:rPr>
        <w:t xml:space="preserve"> públicos</w:t>
      </w:r>
      <w:r w:rsidRPr="00913D50">
        <w:rPr>
          <w:lang w:val="es-419"/>
        </w:rPr>
        <w:t>.</w:t>
      </w:r>
    </w:p>
    <w:p w14:paraId="0817D4A3" w14:textId="0074DAF0" w:rsidR="00023358" w:rsidRPr="00913D50" w:rsidRDefault="00023358" w:rsidP="00337F64">
      <w:pPr>
        <w:spacing w:before="240" w:after="120" w:line="240" w:lineRule="auto"/>
        <w:jc w:val="both"/>
        <w:rPr>
          <w:lang w:val="es-419"/>
        </w:rPr>
      </w:pPr>
      <w:r w:rsidRPr="00913D50">
        <w:rPr>
          <w:lang w:val="es-419"/>
        </w:rPr>
        <w:t xml:space="preserve">En la última edición de Misión Innovación (MI-6), organizada por Chile, Brasil tuvo una participación activa compartiendo su experiencia con los países miembros de este foro. Algunos ejemplos son el </w:t>
      </w:r>
      <w:proofErr w:type="spellStart"/>
      <w:r w:rsidRPr="00913D50">
        <w:rPr>
          <w:lang w:val="es-419"/>
        </w:rPr>
        <w:t>webinar</w:t>
      </w:r>
      <w:r w:rsidR="007E4F2B" w:rsidRPr="00913D50">
        <w:rPr>
          <w:lang w:val="es-419"/>
        </w:rPr>
        <w:t>io</w:t>
      </w:r>
      <w:proofErr w:type="spellEnd"/>
      <w:r w:rsidRPr="00913D50">
        <w:rPr>
          <w:lang w:val="es-419"/>
        </w:rPr>
        <w:t xml:space="preserve"> organizado por la AIE previo al evento MI y un podcast producido por la </w:t>
      </w:r>
      <w:r w:rsidR="00374202" w:rsidRPr="00913D50">
        <w:rPr>
          <w:lang w:val="es-419"/>
        </w:rPr>
        <w:t>EPE</w:t>
      </w:r>
      <w:r w:rsidRPr="00913D50">
        <w:rPr>
          <w:lang w:val="es-419"/>
        </w:rPr>
        <w:t xml:space="preserve">, con la participación de 14 socios de la iniciativa de EBP, como parte de la plataforma MI-6. Más allá de la importancia de la colaboración e intercambio de experiencias entre los países miembros de </w:t>
      </w:r>
      <w:proofErr w:type="spellStart"/>
      <w:r w:rsidRPr="00913D50">
        <w:rPr>
          <w:lang w:val="es-419"/>
        </w:rPr>
        <w:t>Mission</w:t>
      </w:r>
      <w:proofErr w:type="spellEnd"/>
      <w:r w:rsidRPr="00913D50">
        <w:rPr>
          <w:lang w:val="es-419"/>
        </w:rPr>
        <w:t xml:space="preserve"> Innovation, es fundamental que este conocimiento sea difundido y desarrollado a nivel regional.</w:t>
      </w:r>
    </w:p>
    <w:p w14:paraId="2586C921" w14:textId="607F92E7" w:rsidR="007E4F2B" w:rsidRPr="00913D50" w:rsidRDefault="007E4F2B" w:rsidP="00337F64">
      <w:pPr>
        <w:spacing w:before="240" w:after="120" w:line="240" w:lineRule="auto"/>
        <w:jc w:val="both"/>
        <w:rPr>
          <w:lang w:val="es-419"/>
        </w:rPr>
      </w:pPr>
      <w:r w:rsidRPr="00913D50">
        <w:rPr>
          <w:lang w:val="es-419"/>
        </w:rPr>
        <w:t xml:space="preserve">Existen importantes sinergias y oportunidades en este contexto. Primero, la nueva etapa de EBP 2.0, que ahora cuenta con el apoyo del Programa </w:t>
      </w:r>
      <w:proofErr w:type="spellStart"/>
      <w:r w:rsidRPr="00913D50">
        <w:rPr>
          <w:lang w:val="es-419"/>
        </w:rPr>
        <w:t>Euroclima</w:t>
      </w:r>
      <w:proofErr w:type="spellEnd"/>
      <w:r w:rsidRPr="00913D50">
        <w:rPr>
          <w:lang w:val="es-419"/>
        </w:rPr>
        <w:t xml:space="preserve">+, con la asistencia técnica de CEPAL y GIZ. Parte de EBP 2.0 se refiere a la expansión de los indicadores de innovación energética en Brasil, incluidas las inversiones en RD&amp;D, así como al fortalecimiento de la articulación de las partes interesadas a nivel nacional, regional e internacional. Además, Brasil viene contribuyendo a MI 2.0, más específicamente en los módulos de </w:t>
      </w:r>
      <w:proofErr w:type="spellStart"/>
      <w:r w:rsidRPr="00913D50">
        <w:rPr>
          <w:i/>
          <w:iCs/>
          <w:lang w:val="es-419"/>
        </w:rPr>
        <w:t>insight</w:t>
      </w:r>
      <w:proofErr w:type="spellEnd"/>
      <w:r w:rsidRPr="00913D50">
        <w:rPr>
          <w:lang w:val="es-419"/>
        </w:rPr>
        <w:t xml:space="preserve"> y colaboración, aprovechando la capacidad desarrollada en el ámbito de la EBP y de la alianza con el gobierno británico desde 2020, que permitió el desarrollo de un data plataforma llamada </w:t>
      </w:r>
      <w:proofErr w:type="spellStart"/>
      <w:r w:rsidRPr="00913D50">
        <w:rPr>
          <w:lang w:val="es-419"/>
        </w:rPr>
        <w:t>Inova</w:t>
      </w:r>
      <w:proofErr w:type="spellEnd"/>
      <w:r w:rsidRPr="00913D50">
        <w:rPr>
          <w:lang w:val="es-419"/>
        </w:rPr>
        <w:t>-e</w:t>
      </w:r>
      <w:r w:rsidR="00202592" w:rsidRPr="00913D50">
        <w:rPr>
          <w:vertAlign w:val="superscript"/>
          <w:lang w:val="es-419"/>
        </w:rPr>
        <w:footnoteReference w:id="2"/>
      </w:r>
      <w:r w:rsidRPr="00913D50">
        <w:rPr>
          <w:lang w:val="es-419"/>
        </w:rPr>
        <w:t xml:space="preserve"> alojada en el sitio web de la EPE.</w:t>
      </w:r>
    </w:p>
    <w:p w14:paraId="79AFA6D2" w14:textId="61BEA3F0" w:rsidR="00337F64" w:rsidRPr="00856F31" w:rsidRDefault="00337F64" w:rsidP="00337F64">
      <w:pPr>
        <w:spacing w:before="240" w:after="120" w:line="240" w:lineRule="auto"/>
        <w:jc w:val="both"/>
        <w:rPr>
          <w:i/>
          <w:iCs/>
          <w:color w:val="FF0000"/>
        </w:rPr>
      </w:pPr>
      <w:r w:rsidRPr="00856F31">
        <w:rPr>
          <w:i/>
          <w:iCs/>
          <w:color w:val="FF0000"/>
        </w:rPr>
        <w:t>[CONTEXT</w:t>
      </w:r>
      <w:r w:rsidR="007E4F2B" w:rsidRPr="00856F31">
        <w:rPr>
          <w:i/>
          <w:iCs/>
          <w:color w:val="FF0000"/>
        </w:rPr>
        <w:t xml:space="preserve">O DE </w:t>
      </w:r>
      <w:r w:rsidRPr="00856F31">
        <w:rPr>
          <w:i/>
          <w:iCs/>
          <w:color w:val="FF0000"/>
        </w:rPr>
        <w:t xml:space="preserve">CHILE – </w:t>
      </w:r>
      <w:r w:rsidR="007E4F2B" w:rsidRPr="00856F31">
        <w:rPr>
          <w:i/>
          <w:iCs/>
          <w:color w:val="FF0000"/>
        </w:rPr>
        <w:t>A SER INCLUIDO</w:t>
      </w:r>
      <w:r w:rsidRPr="00856F31">
        <w:rPr>
          <w:i/>
          <w:iCs/>
          <w:color w:val="FF0000"/>
        </w:rPr>
        <w:t>]</w:t>
      </w:r>
    </w:p>
    <w:p w14:paraId="629FCE5B" w14:textId="2570DC91" w:rsidR="00337F64" w:rsidRPr="00187C4A" w:rsidRDefault="00337F64" w:rsidP="00337F64">
      <w:pPr>
        <w:spacing w:before="240" w:after="120" w:line="240" w:lineRule="auto"/>
        <w:jc w:val="both"/>
        <w:rPr>
          <w:i/>
          <w:iCs/>
        </w:rPr>
      </w:pPr>
      <w:r w:rsidRPr="00187C4A">
        <w:rPr>
          <w:i/>
          <w:iCs/>
        </w:rPr>
        <w:lastRenderedPageBreak/>
        <w:t>[CONTEXT</w:t>
      </w:r>
      <w:r w:rsidR="007E4F2B" w:rsidRPr="00187C4A">
        <w:rPr>
          <w:i/>
          <w:iCs/>
        </w:rPr>
        <w:t>O</w:t>
      </w:r>
      <w:r w:rsidRPr="00187C4A">
        <w:rPr>
          <w:i/>
          <w:iCs/>
        </w:rPr>
        <w:t xml:space="preserve"> MÉXICO – </w:t>
      </w:r>
      <w:r w:rsidR="007E4F2B" w:rsidRPr="00187C4A">
        <w:rPr>
          <w:i/>
          <w:iCs/>
        </w:rPr>
        <w:t>A SER INCLUIDO</w:t>
      </w:r>
      <w:r w:rsidRPr="00187C4A">
        <w:rPr>
          <w:i/>
          <w:iCs/>
        </w:rPr>
        <w:t>]</w:t>
      </w:r>
    </w:p>
    <w:p w14:paraId="0DC55145" w14:textId="20A36280" w:rsidR="00070D93" w:rsidRPr="00913D50" w:rsidRDefault="00070D93" w:rsidP="00337F64">
      <w:pPr>
        <w:spacing w:before="240" w:after="120" w:line="240" w:lineRule="auto"/>
        <w:jc w:val="both"/>
        <w:rPr>
          <w:lang w:val="es-419"/>
        </w:rPr>
      </w:pPr>
      <w:r w:rsidRPr="00913D50">
        <w:rPr>
          <w:lang w:val="es-419"/>
        </w:rPr>
        <w:t>Los tres países (Brasil, Chile y México), además de comprometerse con MI, también participan en el Foro Regional de Planificadores Energéticos (FOREPLEN), una plataforma de intercambio técnico para fortalecer la cooperación entre países en temas relacionados con la energía regional. planificación. El intercambio de experiencias entre los países latinoamericanos puede inspirar e involucrar a otros países de la región y más allá para recopilar, monitorear, rastrear y acelerar la innovación en energía limpia, además de fortalecer la capacidad regional para acceder a evidencia sólida sobre el progreso de la innovación para informar decisiones efectivas. hacia una transición energética sostenible en la región.</w:t>
      </w:r>
    </w:p>
    <w:p w14:paraId="03B5DA54" w14:textId="77777777" w:rsidR="00337F64" w:rsidRPr="00913D50" w:rsidRDefault="00337F64" w:rsidP="00337F64">
      <w:pPr>
        <w:spacing w:line="240" w:lineRule="auto"/>
        <w:rPr>
          <w:lang w:val="es-419"/>
        </w:rPr>
      </w:pPr>
      <w:bookmarkStart w:id="7" w:name="_m0e2zbw50hf4" w:colFirst="0" w:colLast="0"/>
      <w:bookmarkEnd w:id="7"/>
    </w:p>
    <w:p w14:paraId="72857159" w14:textId="02C7FE8C" w:rsidR="00337F64" w:rsidRPr="00913D50" w:rsidRDefault="00A20DE1" w:rsidP="00337F64">
      <w:pPr>
        <w:pStyle w:val="Subtitle"/>
        <w:spacing w:after="120" w:line="240" w:lineRule="auto"/>
        <w:jc w:val="both"/>
        <w:rPr>
          <w:lang w:val="es-419"/>
        </w:rPr>
      </w:pPr>
      <w:r w:rsidRPr="00913D50">
        <w:rPr>
          <w:lang w:val="es-419"/>
        </w:rPr>
        <w:t>Agenda</w:t>
      </w:r>
      <w:r w:rsidR="00070D93" w:rsidRPr="00913D50">
        <w:rPr>
          <w:lang w:val="es-419"/>
        </w:rPr>
        <w:t xml:space="preserve"> p</w:t>
      </w:r>
      <w:r w:rsidRPr="00913D50">
        <w:rPr>
          <w:lang w:val="es-419"/>
        </w:rPr>
        <w:t>reliminar</w:t>
      </w:r>
    </w:p>
    <w:p w14:paraId="045A6350" w14:textId="3F5F3C86" w:rsidR="00337F64" w:rsidRPr="00540BF8" w:rsidRDefault="00070D93" w:rsidP="00337F64">
      <w:pPr>
        <w:spacing w:line="240" w:lineRule="auto"/>
        <w:rPr>
          <w:i/>
          <w:iCs/>
          <w:lang w:val="es-419"/>
        </w:rPr>
      </w:pPr>
      <w:r w:rsidRPr="00540BF8">
        <w:rPr>
          <w:i/>
          <w:iCs/>
          <w:lang w:val="es-419"/>
        </w:rPr>
        <w:t>Moderación</w:t>
      </w:r>
      <w:r w:rsidR="00337F64" w:rsidRPr="00540BF8">
        <w:rPr>
          <w:i/>
          <w:iCs/>
          <w:lang w:val="es-419"/>
        </w:rPr>
        <w:t xml:space="preserve">: </w:t>
      </w:r>
      <w:bookmarkStart w:id="8" w:name="_478k8d7191u" w:colFirst="0" w:colLast="0"/>
      <w:bookmarkEnd w:id="8"/>
      <w:r w:rsidRPr="00540BF8">
        <w:rPr>
          <w:i/>
          <w:iCs/>
          <w:lang w:val="es-419"/>
        </w:rPr>
        <w:t xml:space="preserve">Representante de la CEPAL </w:t>
      </w:r>
      <w:r w:rsidR="00337F64" w:rsidRPr="00540BF8">
        <w:rPr>
          <w:i/>
          <w:iCs/>
          <w:lang w:val="es-419"/>
        </w:rPr>
        <w:t>– Ruben Contreras, Coordina</w:t>
      </w:r>
      <w:r w:rsidRPr="00540BF8">
        <w:rPr>
          <w:i/>
          <w:iCs/>
          <w:lang w:val="es-419"/>
        </w:rPr>
        <w:t>d</w:t>
      </w:r>
      <w:r w:rsidR="00337F64" w:rsidRPr="00540BF8">
        <w:rPr>
          <w:i/>
          <w:iCs/>
          <w:lang w:val="es-419"/>
        </w:rPr>
        <w:t xml:space="preserve">or </w:t>
      </w:r>
      <w:r w:rsidRPr="00540BF8">
        <w:rPr>
          <w:i/>
          <w:iCs/>
          <w:lang w:val="es-419"/>
        </w:rPr>
        <w:t>de</w:t>
      </w:r>
      <w:r w:rsidR="00337F64" w:rsidRPr="00540BF8">
        <w:rPr>
          <w:i/>
          <w:iCs/>
          <w:lang w:val="es-419"/>
        </w:rPr>
        <w:t xml:space="preserve"> FOREPLEN (</w:t>
      </w:r>
      <w:r w:rsidRPr="00540BF8">
        <w:rPr>
          <w:i/>
          <w:iCs/>
          <w:lang w:val="es-419"/>
        </w:rPr>
        <w:t>por confirmar</w:t>
      </w:r>
      <w:r w:rsidR="00337F64" w:rsidRPr="00540BF8">
        <w:rPr>
          <w:i/>
          <w:iCs/>
          <w:lang w:val="es-419"/>
        </w:rPr>
        <w:t>)</w:t>
      </w:r>
    </w:p>
    <w:p w14:paraId="1AA0B0D5" w14:textId="13132A45" w:rsidR="00337F64" w:rsidRDefault="00337F64" w:rsidP="00337F64">
      <w:pPr>
        <w:spacing w:line="240" w:lineRule="auto"/>
        <w:jc w:val="both"/>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7543"/>
      </w:tblGrid>
      <w:tr w:rsidR="00573630" w14:paraId="7D704887" w14:textId="77777777" w:rsidTr="00C227FA">
        <w:tc>
          <w:tcPr>
            <w:tcW w:w="9019" w:type="dxa"/>
            <w:gridSpan w:val="2"/>
          </w:tcPr>
          <w:p w14:paraId="29640714" w14:textId="7D27F4D6" w:rsidR="00573630" w:rsidRPr="000265AA" w:rsidRDefault="00573630" w:rsidP="00573630">
            <w:pPr>
              <w:spacing w:line="240" w:lineRule="auto"/>
              <w:jc w:val="both"/>
              <w:rPr>
                <w:b/>
                <w:bCs/>
                <w:lang w:val="es-419"/>
              </w:rPr>
            </w:pPr>
            <w:r w:rsidRPr="000265AA">
              <w:rPr>
                <w:b/>
                <w:bCs/>
                <w:lang w:val="es-419"/>
              </w:rPr>
              <w:t>Apertura (15 min)</w:t>
            </w:r>
          </w:p>
        </w:tc>
      </w:tr>
      <w:tr w:rsidR="00573630" w:rsidRPr="005C57F8" w14:paraId="2027BD41" w14:textId="77777777" w:rsidTr="00C227FA">
        <w:tc>
          <w:tcPr>
            <w:tcW w:w="1476" w:type="dxa"/>
          </w:tcPr>
          <w:p w14:paraId="579B6112" w14:textId="18B9F08C" w:rsidR="00573630" w:rsidRDefault="00573630" w:rsidP="00337F64">
            <w:pPr>
              <w:spacing w:line="240" w:lineRule="auto"/>
              <w:jc w:val="both"/>
              <w:rPr>
                <w:lang w:val="es-419"/>
              </w:rPr>
            </w:pPr>
          </w:p>
        </w:tc>
        <w:tc>
          <w:tcPr>
            <w:tcW w:w="7543" w:type="dxa"/>
          </w:tcPr>
          <w:p w14:paraId="715A2595" w14:textId="77777777" w:rsidR="00573630" w:rsidRPr="000265AA" w:rsidRDefault="00573630" w:rsidP="00573630">
            <w:pPr>
              <w:spacing w:line="240" w:lineRule="auto"/>
              <w:jc w:val="both"/>
              <w:rPr>
                <w:i/>
                <w:iCs/>
                <w:lang w:val="es-419"/>
              </w:rPr>
            </w:pPr>
            <w:r w:rsidRPr="000265AA">
              <w:rPr>
                <w:i/>
                <w:iCs/>
                <w:lang w:val="es-419"/>
              </w:rPr>
              <w:t>Representante de la CEPAL (5 min)</w:t>
            </w:r>
          </w:p>
          <w:p w14:paraId="2A60AEA1" w14:textId="77777777" w:rsidR="00573630" w:rsidRPr="000265AA" w:rsidRDefault="00573630" w:rsidP="00573630">
            <w:pPr>
              <w:spacing w:line="240" w:lineRule="auto"/>
              <w:jc w:val="both"/>
              <w:rPr>
                <w:i/>
                <w:iCs/>
                <w:lang w:val="es-419"/>
              </w:rPr>
            </w:pPr>
            <w:r w:rsidRPr="000265AA">
              <w:rPr>
                <w:i/>
                <w:iCs/>
                <w:lang w:val="es-419"/>
              </w:rPr>
              <w:t>Representante de la AIE/IEA (5 min)</w:t>
            </w:r>
          </w:p>
          <w:p w14:paraId="45019090" w14:textId="77777777" w:rsidR="00573630" w:rsidRDefault="00573630" w:rsidP="00573630">
            <w:pPr>
              <w:spacing w:line="240" w:lineRule="auto"/>
              <w:jc w:val="both"/>
              <w:rPr>
                <w:i/>
                <w:iCs/>
                <w:lang w:val="es-419"/>
              </w:rPr>
            </w:pPr>
            <w:r w:rsidRPr="000265AA">
              <w:rPr>
                <w:i/>
                <w:iCs/>
                <w:lang w:val="es-419"/>
              </w:rPr>
              <w:t>Representante de la Comisión Europea (5 min) – por confirmar</w:t>
            </w:r>
          </w:p>
          <w:p w14:paraId="7EE7DD75" w14:textId="4F8539A7" w:rsidR="009B2FC5" w:rsidRDefault="009B2FC5" w:rsidP="00573630">
            <w:pPr>
              <w:spacing w:line="240" w:lineRule="auto"/>
              <w:jc w:val="both"/>
              <w:rPr>
                <w:lang w:val="es-419"/>
              </w:rPr>
            </w:pPr>
          </w:p>
        </w:tc>
      </w:tr>
      <w:tr w:rsidR="00573630" w:rsidRPr="005C57F8" w14:paraId="3F240890" w14:textId="77777777" w:rsidTr="00C227FA">
        <w:tc>
          <w:tcPr>
            <w:tcW w:w="9019" w:type="dxa"/>
            <w:gridSpan w:val="2"/>
          </w:tcPr>
          <w:p w14:paraId="60E4A893" w14:textId="36447F2A" w:rsidR="00573630" w:rsidRPr="000265AA" w:rsidRDefault="00573630" w:rsidP="00573630">
            <w:pPr>
              <w:spacing w:line="240" w:lineRule="auto"/>
              <w:jc w:val="both"/>
              <w:rPr>
                <w:b/>
                <w:bCs/>
                <w:lang w:val="es-419"/>
              </w:rPr>
            </w:pPr>
            <w:r w:rsidRPr="000265AA">
              <w:rPr>
                <w:b/>
                <w:bCs/>
                <w:lang w:val="es-419"/>
              </w:rPr>
              <w:t>Experiencias de los países (45 min)</w:t>
            </w:r>
          </w:p>
        </w:tc>
      </w:tr>
      <w:tr w:rsidR="00573630" w14:paraId="28CE2E92" w14:textId="77777777" w:rsidTr="00C227FA">
        <w:tc>
          <w:tcPr>
            <w:tcW w:w="1476" w:type="dxa"/>
          </w:tcPr>
          <w:p w14:paraId="64694B23" w14:textId="77777777" w:rsidR="00573630" w:rsidRDefault="00573630" w:rsidP="00573630">
            <w:pPr>
              <w:spacing w:line="240" w:lineRule="auto"/>
              <w:jc w:val="both"/>
              <w:rPr>
                <w:lang w:val="es-419"/>
              </w:rPr>
            </w:pPr>
          </w:p>
        </w:tc>
        <w:tc>
          <w:tcPr>
            <w:tcW w:w="7543" w:type="dxa"/>
          </w:tcPr>
          <w:p w14:paraId="786F362E" w14:textId="77777777" w:rsidR="00573630" w:rsidRPr="00573630" w:rsidRDefault="00573630" w:rsidP="00573630">
            <w:pPr>
              <w:spacing w:line="240" w:lineRule="auto"/>
              <w:jc w:val="both"/>
              <w:rPr>
                <w:lang w:val="es-419"/>
              </w:rPr>
            </w:pPr>
            <w:r w:rsidRPr="000265AA">
              <w:rPr>
                <w:b/>
                <w:bCs/>
                <w:lang w:val="es-419"/>
              </w:rPr>
              <w:t>Experiencia de Brasil</w:t>
            </w:r>
            <w:r w:rsidRPr="00573630">
              <w:rPr>
                <w:lang w:val="es-419"/>
              </w:rPr>
              <w:t xml:space="preserve"> (15 min)</w:t>
            </w:r>
          </w:p>
          <w:p w14:paraId="5D7E6F81" w14:textId="71687C3F" w:rsidR="00573630" w:rsidRPr="000265AA" w:rsidRDefault="00573630" w:rsidP="00573630">
            <w:pPr>
              <w:spacing w:line="240" w:lineRule="auto"/>
              <w:jc w:val="both"/>
              <w:rPr>
                <w:i/>
                <w:iCs/>
                <w:lang w:val="es-419"/>
              </w:rPr>
            </w:pPr>
            <w:r w:rsidRPr="000265AA">
              <w:rPr>
                <w:i/>
                <w:iCs/>
                <w:lang w:val="es-419"/>
              </w:rPr>
              <w:t>Representante de Brasil</w:t>
            </w:r>
          </w:p>
          <w:p w14:paraId="50737106" w14:textId="77777777" w:rsidR="000265AA" w:rsidRPr="00573630" w:rsidRDefault="000265AA" w:rsidP="00573630">
            <w:pPr>
              <w:spacing w:line="240" w:lineRule="auto"/>
              <w:jc w:val="both"/>
              <w:rPr>
                <w:lang w:val="es-419"/>
              </w:rPr>
            </w:pPr>
          </w:p>
          <w:p w14:paraId="56889E2D" w14:textId="77777777" w:rsidR="00573630" w:rsidRPr="00573630" w:rsidRDefault="00573630" w:rsidP="00573630">
            <w:pPr>
              <w:spacing w:line="240" w:lineRule="auto"/>
              <w:jc w:val="both"/>
              <w:rPr>
                <w:lang w:val="es-419"/>
              </w:rPr>
            </w:pPr>
            <w:r w:rsidRPr="000265AA">
              <w:rPr>
                <w:b/>
                <w:bCs/>
                <w:lang w:val="es-419"/>
              </w:rPr>
              <w:t>Experiencia de Chile</w:t>
            </w:r>
            <w:r w:rsidRPr="00573630">
              <w:rPr>
                <w:lang w:val="es-419"/>
              </w:rPr>
              <w:t xml:space="preserve"> (15 min)</w:t>
            </w:r>
          </w:p>
          <w:p w14:paraId="5228F6EB" w14:textId="77777777" w:rsidR="00573630" w:rsidRPr="000265AA" w:rsidRDefault="00573630" w:rsidP="00573630">
            <w:pPr>
              <w:spacing w:line="240" w:lineRule="auto"/>
              <w:jc w:val="both"/>
              <w:rPr>
                <w:i/>
                <w:iCs/>
                <w:lang w:val="es-419"/>
              </w:rPr>
            </w:pPr>
            <w:r w:rsidRPr="000265AA">
              <w:rPr>
                <w:b/>
                <w:bCs/>
                <w:i/>
                <w:iCs/>
                <w:lang w:val="es-419"/>
              </w:rPr>
              <w:t>Angel Caviedes Cabezas</w:t>
            </w:r>
            <w:r w:rsidRPr="000265AA">
              <w:rPr>
                <w:i/>
                <w:iCs/>
                <w:lang w:val="es-419"/>
              </w:rPr>
              <w:t>, Profesional, Unidad de Planificación Energética y Nuevas Tecnologías, División de Políticas y Estudios Energéticos y Ambientales, Ministerio de Energía, Gobierno de Chile</w:t>
            </w:r>
          </w:p>
          <w:p w14:paraId="30C1E647" w14:textId="77777777" w:rsidR="000265AA" w:rsidRDefault="000265AA" w:rsidP="00573630">
            <w:pPr>
              <w:spacing w:line="240" w:lineRule="auto"/>
              <w:jc w:val="both"/>
              <w:rPr>
                <w:lang w:val="es-419"/>
              </w:rPr>
            </w:pPr>
          </w:p>
          <w:p w14:paraId="089575A8" w14:textId="77C3E1FF" w:rsidR="00573630" w:rsidRPr="00573630" w:rsidRDefault="00573630" w:rsidP="00573630">
            <w:pPr>
              <w:spacing w:line="240" w:lineRule="auto"/>
              <w:jc w:val="both"/>
              <w:rPr>
                <w:lang w:val="es-419"/>
              </w:rPr>
            </w:pPr>
            <w:r w:rsidRPr="00073D82">
              <w:rPr>
                <w:b/>
                <w:bCs/>
                <w:lang w:val="es-419"/>
              </w:rPr>
              <w:t>Experiencia de México</w:t>
            </w:r>
            <w:r w:rsidRPr="00573630">
              <w:rPr>
                <w:lang w:val="es-419"/>
              </w:rPr>
              <w:t xml:space="preserve"> (15 min) – por confirmar</w:t>
            </w:r>
          </w:p>
          <w:p w14:paraId="574A9D29" w14:textId="77777777" w:rsidR="00573630" w:rsidRDefault="00573630" w:rsidP="00573630">
            <w:pPr>
              <w:spacing w:line="240" w:lineRule="auto"/>
              <w:jc w:val="both"/>
              <w:rPr>
                <w:i/>
                <w:iCs/>
                <w:lang w:val="es-419"/>
              </w:rPr>
            </w:pPr>
            <w:r w:rsidRPr="000265AA">
              <w:rPr>
                <w:i/>
                <w:iCs/>
                <w:lang w:val="es-419"/>
              </w:rPr>
              <w:t>Representante de México</w:t>
            </w:r>
          </w:p>
          <w:p w14:paraId="36745ADA" w14:textId="6813B66F" w:rsidR="009B2FC5" w:rsidRPr="000265AA" w:rsidRDefault="009B2FC5" w:rsidP="00573630">
            <w:pPr>
              <w:spacing w:line="240" w:lineRule="auto"/>
              <w:jc w:val="both"/>
              <w:rPr>
                <w:i/>
                <w:iCs/>
                <w:lang w:val="es-419"/>
              </w:rPr>
            </w:pPr>
          </w:p>
        </w:tc>
      </w:tr>
      <w:tr w:rsidR="000265AA" w14:paraId="10EEEFDE" w14:textId="77777777" w:rsidTr="00C227FA">
        <w:tc>
          <w:tcPr>
            <w:tcW w:w="9019" w:type="dxa"/>
            <w:gridSpan w:val="2"/>
          </w:tcPr>
          <w:p w14:paraId="2E01AA4C" w14:textId="21B6407A" w:rsidR="000265AA" w:rsidRPr="000265AA" w:rsidRDefault="000265AA" w:rsidP="00573630">
            <w:pPr>
              <w:spacing w:line="240" w:lineRule="auto"/>
              <w:jc w:val="both"/>
              <w:rPr>
                <w:b/>
                <w:bCs/>
                <w:lang w:val="es-419"/>
              </w:rPr>
            </w:pPr>
            <w:r w:rsidRPr="000265AA">
              <w:rPr>
                <w:b/>
                <w:bCs/>
                <w:lang w:val="es-419"/>
              </w:rPr>
              <w:t>Discusión (25 min)</w:t>
            </w:r>
          </w:p>
        </w:tc>
      </w:tr>
      <w:tr w:rsidR="00573630" w:rsidRPr="005C57F8" w14:paraId="2431E6AC" w14:textId="77777777" w:rsidTr="00C227FA">
        <w:tc>
          <w:tcPr>
            <w:tcW w:w="1476" w:type="dxa"/>
          </w:tcPr>
          <w:p w14:paraId="3974CB5A" w14:textId="69869DEB" w:rsidR="00573630" w:rsidRDefault="00573630" w:rsidP="00573630">
            <w:pPr>
              <w:spacing w:line="240" w:lineRule="auto"/>
              <w:jc w:val="both"/>
              <w:rPr>
                <w:lang w:val="es-419"/>
              </w:rPr>
            </w:pPr>
          </w:p>
        </w:tc>
        <w:tc>
          <w:tcPr>
            <w:tcW w:w="7543" w:type="dxa"/>
          </w:tcPr>
          <w:p w14:paraId="058F257B" w14:textId="77777777" w:rsidR="00573630" w:rsidRDefault="00C227FA" w:rsidP="00573630">
            <w:pPr>
              <w:spacing w:line="240" w:lineRule="auto"/>
              <w:jc w:val="both"/>
              <w:rPr>
                <w:i/>
                <w:iCs/>
                <w:lang w:val="es-419"/>
              </w:rPr>
            </w:pPr>
            <w:r>
              <w:rPr>
                <w:i/>
                <w:iCs/>
                <w:lang w:val="es-419"/>
              </w:rPr>
              <w:t>Moderador abre sesión para preguntas del público.</w:t>
            </w:r>
          </w:p>
          <w:p w14:paraId="50A9FBE8" w14:textId="647C09C1" w:rsidR="009B2FC5" w:rsidRPr="000265AA" w:rsidRDefault="009B2FC5" w:rsidP="00573630">
            <w:pPr>
              <w:spacing w:line="240" w:lineRule="auto"/>
              <w:jc w:val="both"/>
              <w:rPr>
                <w:i/>
                <w:iCs/>
                <w:lang w:val="es-419"/>
              </w:rPr>
            </w:pPr>
          </w:p>
        </w:tc>
      </w:tr>
      <w:tr w:rsidR="000265AA" w14:paraId="5C9A4A59" w14:textId="77777777" w:rsidTr="00C227FA">
        <w:tc>
          <w:tcPr>
            <w:tcW w:w="9019" w:type="dxa"/>
            <w:gridSpan w:val="2"/>
          </w:tcPr>
          <w:p w14:paraId="0E4A89EF" w14:textId="674B5494" w:rsidR="000265AA" w:rsidRPr="000265AA" w:rsidRDefault="000265AA" w:rsidP="000265AA">
            <w:pPr>
              <w:spacing w:line="240" w:lineRule="auto"/>
              <w:jc w:val="both"/>
              <w:rPr>
                <w:b/>
                <w:bCs/>
                <w:lang w:val="es-419"/>
              </w:rPr>
            </w:pPr>
            <w:r w:rsidRPr="000265AA">
              <w:rPr>
                <w:b/>
                <w:bCs/>
                <w:lang w:val="es-419"/>
              </w:rPr>
              <w:t>Cierre (5 min)</w:t>
            </w:r>
          </w:p>
        </w:tc>
      </w:tr>
      <w:tr w:rsidR="000265AA" w14:paraId="631834F1" w14:textId="77777777" w:rsidTr="00C227FA">
        <w:tc>
          <w:tcPr>
            <w:tcW w:w="1476" w:type="dxa"/>
          </w:tcPr>
          <w:p w14:paraId="26231ED6" w14:textId="77777777" w:rsidR="000265AA" w:rsidRDefault="000265AA" w:rsidP="000265AA">
            <w:pPr>
              <w:spacing w:line="240" w:lineRule="auto"/>
              <w:jc w:val="both"/>
              <w:rPr>
                <w:lang w:val="es-419"/>
              </w:rPr>
            </w:pPr>
          </w:p>
        </w:tc>
        <w:tc>
          <w:tcPr>
            <w:tcW w:w="7543" w:type="dxa"/>
          </w:tcPr>
          <w:p w14:paraId="2C62BDCD" w14:textId="0A606182" w:rsidR="000265AA" w:rsidRPr="00073D82" w:rsidRDefault="000265AA" w:rsidP="000265AA">
            <w:pPr>
              <w:spacing w:line="240" w:lineRule="auto"/>
              <w:jc w:val="both"/>
              <w:rPr>
                <w:i/>
                <w:iCs/>
                <w:lang w:val="es-419"/>
              </w:rPr>
            </w:pPr>
            <w:r w:rsidRPr="00073D82">
              <w:rPr>
                <w:i/>
                <w:iCs/>
                <w:lang w:val="es-419"/>
              </w:rPr>
              <w:t xml:space="preserve">Representante de MI – </w:t>
            </w:r>
            <w:r w:rsidR="00073D82" w:rsidRPr="00073D82">
              <w:rPr>
                <w:i/>
                <w:iCs/>
                <w:lang w:val="es-419"/>
              </w:rPr>
              <w:t>p</w:t>
            </w:r>
            <w:r w:rsidRPr="00073D82">
              <w:rPr>
                <w:i/>
                <w:iCs/>
                <w:lang w:val="es-419"/>
              </w:rPr>
              <w:t>or confirmar</w:t>
            </w:r>
          </w:p>
        </w:tc>
      </w:tr>
    </w:tbl>
    <w:p w14:paraId="2C11FC6B" w14:textId="77777777" w:rsidR="007F2E0E" w:rsidRPr="00913D50" w:rsidRDefault="007F2E0E" w:rsidP="007F2E0E">
      <w:pPr>
        <w:spacing w:line="240" w:lineRule="auto"/>
        <w:ind w:left="720"/>
        <w:jc w:val="both"/>
        <w:rPr>
          <w:lang w:val="es-419"/>
        </w:rPr>
      </w:pPr>
    </w:p>
    <w:p w14:paraId="564A33AC" w14:textId="77777777" w:rsidR="00337F64" w:rsidRPr="00913D50" w:rsidRDefault="00337F64" w:rsidP="00337F64">
      <w:pPr>
        <w:spacing w:line="240" w:lineRule="auto"/>
        <w:jc w:val="both"/>
        <w:rPr>
          <w:lang w:val="es-419"/>
        </w:rPr>
      </w:pPr>
    </w:p>
    <w:p w14:paraId="77AD34F5" w14:textId="1A63B648" w:rsidR="00337F64" w:rsidRPr="00913D50" w:rsidRDefault="00070D93" w:rsidP="00337F64">
      <w:pPr>
        <w:pStyle w:val="Subtitle"/>
        <w:spacing w:after="120" w:line="240" w:lineRule="auto"/>
        <w:jc w:val="both"/>
        <w:rPr>
          <w:lang w:val="es-419"/>
        </w:rPr>
      </w:pPr>
      <w:r w:rsidRPr="00913D50">
        <w:rPr>
          <w:lang w:val="es-419"/>
        </w:rPr>
        <w:t>Preguntas-guía propuestas para las presentaciones de los países</w:t>
      </w:r>
      <w:r w:rsidR="00337F64" w:rsidRPr="00913D50">
        <w:rPr>
          <w:lang w:val="es-419"/>
        </w:rPr>
        <w:t xml:space="preserve"> </w:t>
      </w:r>
    </w:p>
    <w:p w14:paraId="46677660" w14:textId="49313389" w:rsidR="00070D93" w:rsidRPr="00913D50" w:rsidRDefault="00070D93" w:rsidP="00070D93">
      <w:pPr>
        <w:spacing w:line="240" w:lineRule="auto"/>
        <w:jc w:val="both"/>
        <w:rPr>
          <w:lang w:val="es-419"/>
        </w:rPr>
      </w:pPr>
      <w:r w:rsidRPr="00913D50">
        <w:rPr>
          <w:lang w:val="es-419"/>
        </w:rPr>
        <w:t xml:space="preserve">Parte 1: Una vez identificada la necesidad de reportar datos de ID+D, como miembros/observadores de </w:t>
      </w:r>
      <w:proofErr w:type="spellStart"/>
      <w:r w:rsidRPr="00913D50">
        <w:rPr>
          <w:lang w:val="es-419"/>
        </w:rPr>
        <w:t>Mission</w:t>
      </w:r>
      <w:proofErr w:type="spellEnd"/>
      <w:r w:rsidRPr="00913D50">
        <w:rPr>
          <w:lang w:val="es-419"/>
        </w:rPr>
        <w:t xml:space="preserve"> Innovation (MI), ¿cómo prepararon, organizaron y establecieron usted/su país un proceso o estructura para este fin? ¿Cuáles fueron los principales desafíos que podría compartir Usted en base a la experiencia de su país? ¿Y cuáles considera que son los principales resultados de este proceso? Nota: abordar los resultados en términos de un breve diagnóstico (aspectos destacados) de las inversiones en ID+D en energía limpia en el país, así como logros concretos (por ejemplo, proyectos principales, asociaciones, publicaciones, premios, plataformas, etc.) que pueden asociarse con tales esfuerzos.</w:t>
      </w:r>
    </w:p>
    <w:p w14:paraId="0A351C37" w14:textId="77777777" w:rsidR="00070D93" w:rsidRPr="00913D50" w:rsidRDefault="00070D93" w:rsidP="00070D93">
      <w:pPr>
        <w:spacing w:line="240" w:lineRule="auto"/>
        <w:jc w:val="both"/>
        <w:rPr>
          <w:lang w:val="es-419"/>
        </w:rPr>
      </w:pPr>
    </w:p>
    <w:p w14:paraId="32882D91" w14:textId="77777777" w:rsidR="00070D93" w:rsidRPr="00913D50" w:rsidRDefault="00070D93" w:rsidP="00070D93">
      <w:pPr>
        <w:spacing w:line="240" w:lineRule="auto"/>
        <w:jc w:val="both"/>
        <w:rPr>
          <w:lang w:val="es-419"/>
        </w:rPr>
      </w:pPr>
      <w:r w:rsidRPr="00913D50">
        <w:rPr>
          <w:lang w:val="es-419"/>
        </w:rPr>
        <w:t>Parte 2: Teniendo en cuenta la experiencia en su país, ¿en qué medida los resultados (datos informados) han estado apoyando la toma de decisiones con respecto a las inversiones en innovación de energía limpia? ¿Podrías ilustrar tu punto con un ejemplo?</w:t>
      </w:r>
    </w:p>
    <w:p w14:paraId="2D48E75F" w14:textId="77777777" w:rsidR="00070D93" w:rsidRPr="00913D50" w:rsidRDefault="00070D93" w:rsidP="00070D93">
      <w:pPr>
        <w:spacing w:line="240" w:lineRule="auto"/>
        <w:jc w:val="both"/>
        <w:rPr>
          <w:lang w:val="es-419"/>
        </w:rPr>
      </w:pPr>
    </w:p>
    <w:p w14:paraId="59CA3097" w14:textId="7B96F91F" w:rsidR="00070D93" w:rsidRPr="00913D50" w:rsidRDefault="00070D93" w:rsidP="00070D93">
      <w:pPr>
        <w:spacing w:line="240" w:lineRule="auto"/>
        <w:jc w:val="both"/>
        <w:rPr>
          <w:lang w:val="es-419"/>
        </w:rPr>
      </w:pPr>
      <w:r w:rsidRPr="00913D50">
        <w:rPr>
          <w:lang w:val="es-419"/>
        </w:rPr>
        <w:t>Parte 3: ¿Cuáles son sus perspectivas futuras sobre la recopilación, el seguimiento y el seguimiento de datos de I</w:t>
      </w:r>
      <w:r w:rsidR="00566656" w:rsidRPr="00913D50">
        <w:rPr>
          <w:lang w:val="es-419"/>
        </w:rPr>
        <w:t>D</w:t>
      </w:r>
      <w:r w:rsidRPr="00913D50">
        <w:rPr>
          <w:lang w:val="es-419"/>
        </w:rPr>
        <w:t xml:space="preserve">+D? ¿Cuáles considera que son las mejoras más importantes que son necesarias? ¿Cuáles son las principales lecciones aprendidas que </w:t>
      </w:r>
      <w:r w:rsidR="00566656" w:rsidRPr="00913D50">
        <w:rPr>
          <w:lang w:val="es-419"/>
        </w:rPr>
        <w:t xml:space="preserve">Usted </w:t>
      </w:r>
      <w:r w:rsidRPr="00913D50">
        <w:rPr>
          <w:lang w:val="es-419"/>
        </w:rPr>
        <w:t>podría brindar, con base en la experiencia de su país, a otros países que estén interesados ​​en rastrear datos e indicadores de innovación energética?</w:t>
      </w:r>
    </w:p>
    <w:p w14:paraId="7284949F" w14:textId="77777777" w:rsidR="00337F64" w:rsidRPr="00913D50" w:rsidRDefault="00337F64" w:rsidP="00337F64">
      <w:pPr>
        <w:spacing w:line="240" w:lineRule="auto"/>
        <w:rPr>
          <w:lang w:val="es-419"/>
        </w:rPr>
      </w:pPr>
    </w:p>
    <w:p w14:paraId="63469591" w14:textId="4E5AA97C" w:rsidR="00337F64" w:rsidRPr="00913D50" w:rsidRDefault="00566656" w:rsidP="00337F64">
      <w:pPr>
        <w:spacing w:line="240" w:lineRule="auto"/>
        <w:jc w:val="both"/>
        <w:rPr>
          <w:i/>
          <w:iCs/>
          <w:lang w:val="es-419"/>
        </w:rPr>
      </w:pPr>
      <w:r w:rsidRPr="00913D50">
        <w:rPr>
          <w:i/>
          <w:iCs/>
          <w:lang w:val="es-419"/>
        </w:rPr>
        <w:t>Recursos previstos para el evento</w:t>
      </w:r>
      <w:r w:rsidR="00337F64" w:rsidRPr="00913D50">
        <w:rPr>
          <w:i/>
          <w:iCs/>
          <w:lang w:val="es-419"/>
        </w:rPr>
        <w:t>:</w:t>
      </w:r>
    </w:p>
    <w:p w14:paraId="25E4B49E" w14:textId="0855CF22" w:rsidR="00337F64" w:rsidRPr="00913D50" w:rsidRDefault="00566656" w:rsidP="00337F64">
      <w:pPr>
        <w:pStyle w:val="ListParagraph"/>
        <w:numPr>
          <w:ilvl w:val="0"/>
          <w:numId w:val="3"/>
        </w:numPr>
        <w:spacing w:line="240" w:lineRule="auto"/>
        <w:jc w:val="both"/>
        <w:rPr>
          <w:lang w:val="es-419"/>
        </w:rPr>
      </w:pPr>
      <w:r w:rsidRPr="00913D50">
        <w:rPr>
          <w:lang w:val="es-419"/>
        </w:rPr>
        <w:t>Traducción simultánea - interpretación</w:t>
      </w:r>
      <w:r w:rsidR="00337F64" w:rsidRPr="00913D50">
        <w:rPr>
          <w:lang w:val="es-419"/>
        </w:rPr>
        <w:t xml:space="preserve"> </w:t>
      </w:r>
    </w:p>
    <w:p w14:paraId="51F1DC2D" w14:textId="62122AA1" w:rsidR="00337F64" w:rsidRPr="00913D50" w:rsidRDefault="00566656" w:rsidP="00337F64">
      <w:pPr>
        <w:pStyle w:val="ListParagraph"/>
        <w:numPr>
          <w:ilvl w:val="1"/>
          <w:numId w:val="3"/>
        </w:numPr>
        <w:spacing w:line="240" w:lineRule="auto"/>
        <w:jc w:val="both"/>
        <w:rPr>
          <w:lang w:val="es-419"/>
        </w:rPr>
      </w:pPr>
      <w:r w:rsidRPr="00913D50">
        <w:rPr>
          <w:lang w:val="es-419"/>
        </w:rPr>
        <w:t xml:space="preserve">Portugués – </w:t>
      </w:r>
      <w:proofErr w:type="gramStart"/>
      <w:r w:rsidRPr="00913D50">
        <w:rPr>
          <w:lang w:val="es-419"/>
        </w:rPr>
        <w:t>Español</w:t>
      </w:r>
      <w:proofErr w:type="gramEnd"/>
      <w:r w:rsidRPr="00913D50">
        <w:rPr>
          <w:lang w:val="es-419"/>
        </w:rPr>
        <w:t xml:space="preserve"> y viceversa</w:t>
      </w:r>
      <w:r w:rsidR="00337F64" w:rsidRPr="00913D50">
        <w:rPr>
          <w:lang w:val="es-419"/>
        </w:rPr>
        <w:t>: confirm</w:t>
      </w:r>
      <w:r w:rsidRPr="00913D50">
        <w:rPr>
          <w:lang w:val="es-419"/>
        </w:rPr>
        <w:t>a</w:t>
      </w:r>
      <w:r w:rsidR="00337F64" w:rsidRPr="00913D50">
        <w:rPr>
          <w:lang w:val="es-419"/>
        </w:rPr>
        <w:t>d</w:t>
      </w:r>
      <w:r w:rsidRPr="00913D50">
        <w:rPr>
          <w:lang w:val="es-419"/>
        </w:rPr>
        <w:t>o</w:t>
      </w:r>
      <w:r w:rsidR="00337F64" w:rsidRPr="00913D50">
        <w:rPr>
          <w:lang w:val="es-419"/>
        </w:rPr>
        <w:t>.</w:t>
      </w:r>
    </w:p>
    <w:p w14:paraId="46988ED4" w14:textId="075A3963" w:rsidR="00337F64" w:rsidRPr="00913D50" w:rsidRDefault="00566656" w:rsidP="00337F64">
      <w:pPr>
        <w:pStyle w:val="ListParagraph"/>
        <w:numPr>
          <w:ilvl w:val="1"/>
          <w:numId w:val="3"/>
        </w:numPr>
        <w:spacing w:line="240" w:lineRule="auto"/>
        <w:jc w:val="both"/>
        <w:rPr>
          <w:lang w:val="es-419"/>
        </w:rPr>
      </w:pPr>
      <w:r w:rsidRPr="00913D50">
        <w:rPr>
          <w:lang w:val="es-419"/>
        </w:rPr>
        <w:t>Portugués/</w:t>
      </w:r>
      <w:proofErr w:type="gramStart"/>
      <w:r w:rsidRPr="00913D50">
        <w:rPr>
          <w:lang w:val="es-419"/>
        </w:rPr>
        <w:t>Español</w:t>
      </w:r>
      <w:proofErr w:type="gramEnd"/>
      <w:r w:rsidRPr="00913D50">
        <w:rPr>
          <w:lang w:val="es-419"/>
        </w:rPr>
        <w:t xml:space="preserve"> – Inglés: por confirmar.</w:t>
      </w:r>
    </w:p>
    <w:p w14:paraId="65AC24BE" w14:textId="0645ABC5" w:rsidR="00337F64" w:rsidRPr="00913D50" w:rsidRDefault="00566656" w:rsidP="00337F64">
      <w:pPr>
        <w:pStyle w:val="ListParagraph"/>
        <w:numPr>
          <w:ilvl w:val="0"/>
          <w:numId w:val="3"/>
        </w:numPr>
        <w:spacing w:line="240" w:lineRule="auto"/>
        <w:jc w:val="both"/>
        <w:rPr>
          <w:lang w:val="es-419"/>
        </w:rPr>
      </w:pPr>
      <w:r w:rsidRPr="00913D50">
        <w:rPr>
          <w:lang w:val="es-419"/>
        </w:rPr>
        <w:t>Plataforma</w:t>
      </w:r>
      <w:r w:rsidR="00337F64" w:rsidRPr="00913D50">
        <w:rPr>
          <w:lang w:val="es-419"/>
        </w:rPr>
        <w:t>: confirm</w:t>
      </w:r>
      <w:r w:rsidRPr="00913D50">
        <w:rPr>
          <w:lang w:val="es-419"/>
        </w:rPr>
        <w:t>ado</w:t>
      </w:r>
      <w:r w:rsidR="00337F64" w:rsidRPr="00913D50">
        <w:rPr>
          <w:lang w:val="es-419"/>
        </w:rPr>
        <w:t>.</w:t>
      </w:r>
    </w:p>
    <w:p w14:paraId="6778393C" w14:textId="277E28BF" w:rsidR="00AC3C4D" w:rsidRDefault="00566656" w:rsidP="00234E98">
      <w:pPr>
        <w:pStyle w:val="ListParagraph"/>
        <w:numPr>
          <w:ilvl w:val="0"/>
          <w:numId w:val="3"/>
        </w:numPr>
        <w:spacing w:line="240" w:lineRule="auto"/>
        <w:jc w:val="both"/>
        <w:rPr>
          <w:lang w:val="es-419"/>
        </w:rPr>
      </w:pPr>
      <w:r w:rsidRPr="00913D50">
        <w:rPr>
          <w:lang w:val="es-419"/>
        </w:rPr>
        <w:t>Materiales de comunicación</w:t>
      </w:r>
      <w:r w:rsidR="00337F64" w:rsidRPr="00913D50">
        <w:rPr>
          <w:lang w:val="es-419"/>
        </w:rPr>
        <w:t xml:space="preserve">: </w:t>
      </w:r>
      <w:r w:rsidRPr="00913D50">
        <w:rPr>
          <w:lang w:val="es-419"/>
        </w:rPr>
        <w:t>por confirmar</w:t>
      </w:r>
      <w:r w:rsidR="00337F64" w:rsidRPr="00913D50">
        <w:rPr>
          <w:lang w:val="es-419"/>
        </w:rPr>
        <w:t>.</w:t>
      </w:r>
    </w:p>
    <w:p w14:paraId="2DEE0054" w14:textId="6840B6E6" w:rsidR="009C6CA1" w:rsidRDefault="009C6CA1" w:rsidP="009C6CA1">
      <w:pPr>
        <w:spacing w:line="240" w:lineRule="auto"/>
        <w:jc w:val="both"/>
        <w:rPr>
          <w:lang w:val="es-419"/>
        </w:rPr>
      </w:pPr>
    </w:p>
    <w:p w14:paraId="15B58460" w14:textId="1E787588" w:rsidR="009C6CA1" w:rsidRDefault="009C6CA1" w:rsidP="009C6CA1">
      <w:pPr>
        <w:spacing w:line="240" w:lineRule="auto"/>
        <w:jc w:val="both"/>
        <w:rPr>
          <w:lang w:val="es-419"/>
        </w:rPr>
      </w:pPr>
    </w:p>
    <w:p w14:paraId="0E41A53F" w14:textId="046C0076" w:rsidR="009C6CA1" w:rsidRDefault="009C6CA1" w:rsidP="009C6CA1">
      <w:pPr>
        <w:spacing w:line="240" w:lineRule="auto"/>
        <w:jc w:val="both"/>
        <w:rPr>
          <w:lang w:val="es-419"/>
        </w:rPr>
      </w:pPr>
    </w:p>
    <w:p w14:paraId="3E5A735A" w14:textId="77777777" w:rsidR="009C6CA1" w:rsidRDefault="009C6CA1" w:rsidP="009C6CA1">
      <w:pPr>
        <w:spacing w:line="240" w:lineRule="auto"/>
        <w:jc w:val="both"/>
        <w:rPr>
          <w:lang w:val="es-419"/>
        </w:rPr>
      </w:pPr>
      <w:bookmarkStart w:id="9" w:name="_GoBack"/>
      <w:bookmarkEnd w:id="9"/>
    </w:p>
    <w:p w14:paraId="70759984" w14:textId="77777777" w:rsidR="009C6CA1" w:rsidRPr="009C6CA1" w:rsidRDefault="009C6CA1" w:rsidP="009C6CA1">
      <w:pPr>
        <w:spacing w:line="240" w:lineRule="auto"/>
        <w:textAlignment w:val="baseline"/>
        <w:rPr>
          <w:rFonts w:eastAsia="Times New Roman"/>
          <w:color w:val="000000"/>
          <w:szCs w:val="26"/>
          <w:lang w:val="en-GB" w:eastAsia="en-GB"/>
        </w:rPr>
      </w:pPr>
      <w:r w:rsidRPr="009C6CA1">
        <w:rPr>
          <w:rFonts w:eastAsia="Times New Roman"/>
          <w:i/>
          <w:iCs/>
          <w:color w:val="000000"/>
          <w:szCs w:val="26"/>
          <w:bdr w:val="none" w:sz="0" w:space="0" w:color="auto" w:frame="1"/>
          <w:lang w:val="en-GB" w:eastAsia="en-GB"/>
        </w:rPr>
        <w:t>The IEA’s role as the co-organiser of this event is facilitated through the </w:t>
      </w:r>
      <w:hyperlink r:id="rId8" w:tgtFrame="_blank" w:history="1">
        <w:r w:rsidRPr="009C6CA1">
          <w:rPr>
            <w:rFonts w:eastAsia="Times New Roman"/>
            <w:i/>
            <w:iCs/>
            <w:color w:val="0000FF"/>
            <w:szCs w:val="26"/>
            <w:bdr w:val="none" w:sz="0" w:space="0" w:color="auto" w:frame="1"/>
            <w:lang w:val="en-GB" w:eastAsia="en-GB"/>
          </w:rPr>
          <w:t>Clean Energy Transitions in Emerging Economies</w:t>
        </w:r>
      </w:hyperlink>
      <w:r w:rsidRPr="009C6CA1">
        <w:rPr>
          <w:rFonts w:eastAsia="Times New Roman"/>
          <w:i/>
          <w:iCs/>
          <w:color w:val="000000"/>
          <w:szCs w:val="26"/>
          <w:bdr w:val="none" w:sz="0" w:space="0" w:color="auto" w:frame="1"/>
          <w:lang w:val="en-GB" w:eastAsia="en-GB"/>
        </w:rPr>
        <w:t> programme, which received funding from the European Union’s Horizon 2020 research and innovation programme under grant agreement No 952363.</w:t>
      </w:r>
    </w:p>
    <w:p w14:paraId="6A8F54E9" w14:textId="305EAAB3" w:rsidR="009C6CA1" w:rsidRPr="009C6CA1" w:rsidRDefault="009C6CA1" w:rsidP="009C6CA1">
      <w:pPr>
        <w:spacing w:line="240" w:lineRule="auto"/>
        <w:textAlignment w:val="baseline"/>
        <w:rPr>
          <w:rFonts w:ascii="inherit" w:eastAsia="Times New Roman" w:hAnsi="inherit"/>
          <w:color w:val="000000"/>
          <w:sz w:val="24"/>
          <w:szCs w:val="24"/>
          <w:lang w:val="en-GB" w:eastAsia="en-GB"/>
        </w:rPr>
      </w:pPr>
      <w:r w:rsidRPr="009C6CA1">
        <w:rPr>
          <w:rFonts w:ascii="inherit" w:eastAsia="Times New Roman" w:hAnsi="inherit"/>
          <w:noProof/>
          <w:color w:val="000000"/>
          <w:sz w:val="24"/>
          <w:szCs w:val="24"/>
          <w:lang w:val="en-GB" w:eastAsia="en-GB"/>
        </w:rPr>
        <w:drawing>
          <wp:inline distT="0" distB="0" distL="0" distR="0" wp14:anchorId="697CB696" wp14:editId="0B90A3E5">
            <wp:extent cx="5643708" cy="1786764"/>
            <wp:effectExtent l="0" t="0" r="0" b="4445"/>
            <wp:docPr id="1" name="Picture 1"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410" cy="1807565"/>
                    </a:xfrm>
                    <a:prstGeom prst="rect">
                      <a:avLst/>
                    </a:prstGeom>
                    <a:noFill/>
                    <a:ln>
                      <a:noFill/>
                    </a:ln>
                  </pic:spPr>
                </pic:pic>
              </a:graphicData>
            </a:graphic>
          </wp:inline>
        </w:drawing>
      </w:r>
    </w:p>
    <w:p w14:paraId="45DA182F" w14:textId="77777777" w:rsidR="009C6CA1" w:rsidRPr="009C6CA1" w:rsidRDefault="009C6CA1" w:rsidP="009C6CA1">
      <w:pPr>
        <w:spacing w:line="240" w:lineRule="auto"/>
        <w:jc w:val="both"/>
        <w:rPr>
          <w:lang w:val="es-419"/>
        </w:rPr>
      </w:pPr>
    </w:p>
    <w:sectPr w:rsidR="009C6CA1" w:rsidRPr="009C6CA1" w:rsidSect="004A45E4">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5158" w14:textId="77777777" w:rsidR="00D8085B" w:rsidRDefault="00D8085B" w:rsidP="00337F64">
      <w:pPr>
        <w:spacing w:line="240" w:lineRule="auto"/>
      </w:pPr>
      <w:r>
        <w:separator/>
      </w:r>
    </w:p>
  </w:endnote>
  <w:endnote w:type="continuationSeparator" w:id="0">
    <w:p w14:paraId="62D3E485" w14:textId="77777777" w:rsidR="00D8085B" w:rsidRDefault="00D8085B" w:rsidP="00337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AE15" w14:textId="77777777" w:rsidR="005C57F8" w:rsidRDefault="005C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66394"/>
      <w:docPartObj>
        <w:docPartGallery w:val="Page Numbers (Bottom of Page)"/>
        <w:docPartUnique/>
      </w:docPartObj>
    </w:sdtPr>
    <w:sdtEndPr>
      <w:rPr>
        <w:noProof/>
      </w:rPr>
    </w:sdtEndPr>
    <w:sdtContent>
      <w:p w14:paraId="4BB8BDC6" w14:textId="43F5A0F1" w:rsidR="00490056" w:rsidRDefault="00095D07">
        <w:pPr>
          <w:pStyle w:val="Footer"/>
          <w:jc w:val="right"/>
        </w:pPr>
        <w:r>
          <w:fldChar w:fldCharType="begin"/>
        </w:r>
        <w:r>
          <w:instrText xml:space="preserve"> PAGE   \* MERGEFORMAT </w:instrText>
        </w:r>
        <w:r>
          <w:fldChar w:fldCharType="separate"/>
        </w:r>
        <w:r w:rsidR="009C6CA1">
          <w:rPr>
            <w:noProof/>
          </w:rPr>
          <w:t>4</w:t>
        </w:r>
        <w:r>
          <w:rPr>
            <w:noProof/>
          </w:rPr>
          <w:fldChar w:fldCharType="end"/>
        </w:r>
      </w:p>
    </w:sdtContent>
  </w:sdt>
  <w:p w14:paraId="09553584" w14:textId="77777777" w:rsidR="00490056" w:rsidRDefault="009C6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516B" w14:textId="77777777" w:rsidR="005C57F8" w:rsidRDefault="005C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20BB" w14:textId="77777777" w:rsidR="00D8085B" w:rsidRDefault="00D8085B" w:rsidP="00337F64">
      <w:pPr>
        <w:spacing w:line="240" w:lineRule="auto"/>
      </w:pPr>
      <w:r>
        <w:separator/>
      </w:r>
    </w:p>
  </w:footnote>
  <w:footnote w:type="continuationSeparator" w:id="0">
    <w:p w14:paraId="1DA3466C" w14:textId="77777777" w:rsidR="00D8085B" w:rsidRDefault="00D8085B" w:rsidP="00337F64">
      <w:pPr>
        <w:spacing w:line="240" w:lineRule="auto"/>
      </w:pPr>
      <w:r>
        <w:continuationSeparator/>
      </w:r>
    </w:p>
  </w:footnote>
  <w:footnote w:id="1">
    <w:p w14:paraId="2533DEDE" w14:textId="77777777" w:rsidR="00572D49" w:rsidRPr="00841496" w:rsidRDefault="00572D49" w:rsidP="00572D49">
      <w:pPr>
        <w:pStyle w:val="FootnoteText"/>
        <w:rPr>
          <w:sz w:val="16"/>
          <w:szCs w:val="16"/>
          <w:lang w:val="en-US"/>
        </w:rPr>
      </w:pPr>
      <w:r w:rsidRPr="00841496">
        <w:rPr>
          <w:rStyle w:val="FootnoteReference"/>
          <w:sz w:val="16"/>
          <w:szCs w:val="16"/>
        </w:rPr>
        <w:footnoteRef/>
      </w:r>
      <w:r w:rsidRPr="00841496">
        <w:rPr>
          <w:sz w:val="16"/>
          <w:szCs w:val="16"/>
          <w:lang w:val="en-US"/>
        </w:rPr>
        <w:t xml:space="preserve"> </w:t>
      </w:r>
      <w:hyperlink r:id="rId1" w:history="1">
        <w:r w:rsidRPr="00841496">
          <w:rPr>
            <w:rStyle w:val="Hyperlink"/>
            <w:sz w:val="16"/>
            <w:szCs w:val="16"/>
            <w:lang w:val="en-US"/>
          </w:rPr>
          <w:t>IEA Energy Technology RD&amp;D Budgets database</w:t>
        </w:r>
      </w:hyperlink>
    </w:p>
  </w:footnote>
  <w:footnote w:id="2">
    <w:p w14:paraId="19338D60" w14:textId="005C5CB9" w:rsidR="00202592" w:rsidRPr="00074195" w:rsidRDefault="00202592" w:rsidP="00202592">
      <w:pPr>
        <w:spacing w:line="240" w:lineRule="auto"/>
        <w:rPr>
          <w:sz w:val="16"/>
          <w:szCs w:val="16"/>
          <w:lang w:val="es-419"/>
        </w:rPr>
      </w:pPr>
      <w:r w:rsidRPr="00841496">
        <w:rPr>
          <w:sz w:val="16"/>
          <w:szCs w:val="16"/>
          <w:vertAlign w:val="superscript"/>
        </w:rPr>
        <w:footnoteRef/>
      </w:r>
      <w:r w:rsidRPr="00074195">
        <w:rPr>
          <w:sz w:val="16"/>
          <w:szCs w:val="16"/>
          <w:lang w:val="es-419"/>
        </w:rPr>
        <w:t xml:space="preserve"> </w:t>
      </w:r>
      <w:r w:rsidR="00D13A68">
        <w:rPr>
          <w:sz w:val="16"/>
          <w:szCs w:val="16"/>
          <w:lang w:val="es-419"/>
        </w:rPr>
        <w:t>Para</w:t>
      </w:r>
      <w:r w:rsidR="00074195" w:rsidRPr="00074195">
        <w:rPr>
          <w:sz w:val="16"/>
          <w:szCs w:val="16"/>
          <w:lang w:val="es-419"/>
        </w:rPr>
        <w:t xml:space="preserve"> acceder a la versión en inglés de la Plataforma </w:t>
      </w:r>
      <w:proofErr w:type="spellStart"/>
      <w:r w:rsidR="00074195" w:rsidRPr="00074195">
        <w:rPr>
          <w:sz w:val="16"/>
          <w:szCs w:val="16"/>
          <w:lang w:val="es-419"/>
        </w:rPr>
        <w:t>Inova</w:t>
      </w:r>
      <w:proofErr w:type="spellEnd"/>
      <w:r w:rsidR="00074195" w:rsidRPr="00074195">
        <w:rPr>
          <w:sz w:val="16"/>
          <w:szCs w:val="16"/>
          <w:lang w:val="es-419"/>
        </w:rPr>
        <w:t>-e</w:t>
      </w:r>
      <w:r w:rsidRPr="00074195">
        <w:rPr>
          <w:sz w:val="16"/>
          <w:szCs w:val="16"/>
          <w:lang w:val="es-419"/>
        </w:rPr>
        <w:t>:</w:t>
      </w:r>
      <w:r w:rsidRPr="00074195">
        <w:rPr>
          <w:lang w:val="es-419"/>
        </w:rPr>
        <w:t xml:space="preserve"> </w:t>
      </w:r>
      <w:hyperlink r:id="rId2" w:history="1">
        <w:r w:rsidRPr="00074195">
          <w:rPr>
            <w:rStyle w:val="Hyperlink"/>
            <w:sz w:val="16"/>
            <w:szCs w:val="16"/>
            <w:lang w:val="es-419"/>
          </w:rPr>
          <w:t>http://shinyepe.brazilsouth.cloudapp.azure.com/inova-e-eng/</w:t>
        </w:r>
      </w:hyperlink>
      <w:r w:rsidRPr="00074195">
        <w:rPr>
          <w:sz w:val="16"/>
          <w:szCs w:val="16"/>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52B5" w14:textId="77777777" w:rsidR="005C57F8" w:rsidRDefault="005C5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86DE" w14:textId="47E3733E" w:rsidR="00D16E90" w:rsidRPr="00337F64" w:rsidRDefault="00337F64" w:rsidP="00D16E90">
    <w:pPr>
      <w:pStyle w:val="Header"/>
      <w:jc w:val="center"/>
      <w:rPr>
        <w:i/>
        <w:iCs/>
        <w:lang w:val="es-419"/>
      </w:rPr>
    </w:pPr>
    <w:r w:rsidRPr="00337F64">
      <w:rPr>
        <w:i/>
        <w:iCs/>
        <w:lang w:val="es-419"/>
      </w:rPr>
      <w:t>Nota Conceptual Preliminar</w:t>
    </w:r>
    <w:r w:rsidR="00095D07" w:rsidRPr="00337F64">
      <w:rPr>
        <w:i/>
        <w:iCs/>
        <w:lang w:val="es-419"/>
      </w:rPr>
      <w:t xml:space="preserve"> - </w:t>
    </w:r>
    <w:r w:rsidR="005C57F8">
      <w:rPr>
        <w:i/>
        <w:iCs/>
        <w:lang w:val="es-419"/>
      </w:rPr>
      <w:t>11</w:t>
    </w:r>
    <w:r w:rsidR="00095D07" w:rsidRPr="00337F64">
      <w:rPr>
        <w:i/>
        <w:iCs/>
        <w:lang w:val="es-419"/>
      </w:rPr>
      <w:t>/0</w:t>
    </w:r>
    <w:r w:rsidR="00187C4A">
      <w:rPr>
        <w:i/>
        <w:iCs/>
        <w:lang w:val="es-419"/>
      </w:rPr>
      <w:t>7</w:t>
    </w:r>
    <w:r w:rsidR="00095D07" w:rsidRPr="00337F64">
      <w:rPr>
        <w:i/>
        <w:iCs/>
        <w:lang w:val="es-419"/>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3069" w14:textId="77777777" w:rsidR="005C57F8" w:rsidRDefault="005C5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261AB"/>
    <w:multiLevelType w:val="hybridMultilevel"/>
    <w:tmpl w:val="4104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14981"/>
    <w:multiLevelType w:val="multilevel"/>
    <w:tmpl w:val="3EC20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FC3152"/>
    <w:multiLevelType w:val="hybridMultilevel"/>
    <w:tmpl w:val="98243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C16C0"/>
    <w:multiLevelType w:val="multilevel"/>
    <w:tmpl w:val="008AF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es-419"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64"/>
    <w:rsid w:val="00023358"/>
    <w:rsid w:val="000265AA"/>
    <w:rsid w:val="00035264"/>
    <w:rsid w:val="000366D0"/>
    <w:rsid w:val="00041B31"/>
    <w:rsid w:val="00070D93"/>
    <w:rsid w:val="00073D82"/>
    <w:rsid w:val="00074195"/>
    <w:rsid w:val="00085410"/>
    <w:rsid w:val="00095D07"/>
    <w:rsid w:val="00127F61"/>
    <w:rsid w:val="00135254"/>
    <w:rsid w:val="0013623C"/>
    <w:rsid w:val="00187C4A"/>
    <w:rsid w:val="001D2B25"/>
    <w:rsid w:val="001F04B8"/>
    <w:rsid w:val="00202592"/>
    <w:rsid w:val="00234E98"/>
    <w:rsid w:val="002C49E3"/>
    <w:rsid w:val="00337F64"/>
    <w:rsid w:val="00374202"/>
    <w:rsid w:val="00385167"/>
    <w:rsid w:val="00413162"/>
    <w:rsid w:val="0048047B"/>
    <w:rsid w:val="004E69E9"/>
    <w:rsid w:val="0050418B"/>
    <w:rsid w:val="005379A6"/>
    <w:rsid w:val="00540BF8"/>
    <w:rsid w:val="005418FD"/>
    <w:rsid w:val="00566656"/>
    <w:rsid w:val="00572D49"/>
    <w:rsid w:val="00573630"/>
    <w:rsid w:val="005C05AB"/>
    <w:rsid w:val="005C57F8"/>
    <w:rsid w:val="00695D6D"/>
    <w:rsid w:val="006D259B"/>
    <w:rsid w:val="006F1BF7"/>
    <w:rsid w:val="007813D5"/>
    <w:rsid w:val="007E4F2B"/>
    <w:rsid w:val="007F2E0E"/>
    <w:rsid w:val="00845B02"/>
    <w:rsid w:val="00856F31"/>
    <w:rsid w:val="008F4CF6"/>
    <w:rsid w:val="00910454"/>
    <w:rsid w:val="00913D50"/>
    <w:rsid w:val="009A0E6D"/>
    <w:rsid w:val="009B2FC5"/>
    <w:rsid w:val="009B5A70"/>
    <w:rsid w:val="009C6CA1"/>
    <w:rsid w:val="00A1799F"/>
    <w:rsid w:val="00A20DE1"/>
    <w:rsid w:val="00A47D66"/>
    <w:rsid w:val="00A63587"/>
    <w:rsid w:val="00A9081E"/>
    <w:rsid w:val="00AC3C4D"/>
    <w:rsid w:val="00AE1B9A"/>
    <w:rsid w:val="00B236C3"/>
    <w:rsid w:val="00B64956"/>
    <w:rsid w:val="00B91560"/>
    <w:rsid w:val="00BC3D1C"/>
    <w:rsid w:val="00C227FA"/>
    <w:rsid w:val="00C36C9B"/>
    <w:rsid w:val="00C9487F"/>
    <w:rsid w:val="00CA5491"/>
    <w:rsid w:val="00D13A68"/>
    <w:rsid w:val="00D717C7"/>
    <w:rsid w:val="00D8085B"/>
    <w:rsid w:val="00D84D94"/>
    <w:rsid w:val="00DB15FB"/>
    <w:rsid w:val="00DE6A55"/>
    <w:rsid w:val="00DE6CC0"/>
    <w:rsid w:val="00E5362B"/>
    <w:rsid w:val="00E91D3F"/>
    <w:rsid w:val="00EC2A89"/>
    <w:rsid w:val="00F13647"/>
    <w:rsid w:val="00F3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D54"/>
  <w15:chartTrackingRefBased/>
  <w15:docId w15:val="{3824B536-1137-4563-A194-DE512B5D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F64"/>
    <w:pPr>
      <w:spacing w:after="0" w:line="276" w:lineRule="auto"/>
    </w:pPr>
    <w:rPr>
      <w:rFonts w:ascii="Arial" w:eastAsia="Arial" w:hAnsi="Arial" w:cs="Arial"/>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37F64"/>
    <w:pPr>
      <w:keepNext/>
      <w:keepLines/>
      <w:spacing w:after="320"/>
    </w:pPr>
    <w:rPr>
      <w:color w:val="666666"/>
      <w:sz w:val="30"/>
      <w:szCs w:val="30"/>
    </w:rPr>
  </w:style>
  <w:style w:type="character" w:customStyle="1" w:styleId="SubtitleChar">
    <w:name w:val="Subtitle Char"/>
    <w:basedOn w:val="DefaultParagraphFont"/>
    <w:link w:val="Subtitle"/>
    <w:uiPriority w:val="11"/>
    <w:rsid w:val="00337F64"/>
    <w:rPr>
      <w:rFonts w:ascii="Arial" w:eastAsia="Arial" w:hAnsi="Arial" w:cs="Arial"/>
      <w:color w:val="666666"/>
      <w:sz w:val="30"/>
      <w:szCs w:val="30"/>
      <w:lang w:val="pt-BR"/>
    </w:rPr>
  </w:style>
  <w:style w:type="character" w:styleId="Hyperlink">
    <w:name w:val="Hyperlink"/>
    <w:basedOn w:val="DefaultParagraphFont"/>
    <w:uiPriority w:val="99"/>
    <w:unhideWhenUsed/>
    <w:rsid w:val="00337F64"/>
    <w:rPr>
      <w:color w:val="0563C1" w:themeColor="hyperlink"/>
      <w:u w:val="single"/>
    </w:rPr>
  </w:style>
  <w:style w:type="paragraph" w:styleId="Header">
    <w:name w:val="header"/>
    <w:basedOn w:val="Normal"/>
    <w:link w:val="HeaderChar"/>
    <w:uiPriority w:val="99"/>
    <w:unhideWhenUsed/>
    <w:rsid w:val="00337F64"/>
    <w:pPr>
      <w:tabs>
        <w:tab w:val="center" w:pos="4513"/>
        <w:tab w:val="right" w:pos="9026"/>
      </w:tabs>
      <w:spacing w:line="240" w:lineRule="auto"/>
    </w:pPr>
  </w:style>
  <w:style w:type="character" w:customStyle="1" w:styleId="HeaderChar">
    <w:name w:val="Header Char"/>
    <w:basedOn w:val="DefaultParagraphFont"/>
    <w:link w:val="Header"/>
    <w:uiPriority w:val="99"/>
    <w:rsid w:val="00337F64"/>
    <w:rPr>
      <w:rFonts w:ascii="Arial" w:eastAsia="Arial" w:hAnsi="Arial" w:cs="Arial"/>
      <w:lang w:val="pt-BR"/>
    </w:rPr>
  </w:style>
  <w:style w:type="paragraph" w:styleId="Footer">
    <w:name w:val="footer"/>
    <w:basedOn w:val="Normal"/>
    <w:link w:val="FooterChar"/>
    <w:uiPriority w:val="99"/>
    <w:unhideWhenUsed/>
    <w:rsid w:val="00337F64"/>
    <w:pPr>
      <w:tabs>
        <w:tab w:val="center" w:pos="4513"/>
        <w:tab w:val="right" w:pos="9026"/>
      </w:tabs>
      <w:spacing w:line="240" w:lineRule="auto"/>
    </w:pPr>
  </w:style>
  <w:style w:type="character" w:customStyle="1" w:styleId="FooterChar">
    <w:name w:val="Footer Char"/>
    <w:basedOn w:val="DefaultParagraphFont"/>
    <w:link w:val="Footer"/>
    <w:uiPriority w:val="99"/>
    <w:rsid w:val="00337F64"/>
    <w:rPr>
      <w:rFonts w:ascii="Arial" w:eastAsia="Arial" w:hAnsi="Arial" w:cs="Arial"/>
      <w:lang w:val="pt-BR"/>
    </w:rPr>
  </w:style>
  <w:style w:type="paragraph" w:styleId="FootnoteText">
    <w:name w:val="footnote text"/>
    <w:basedOn w:val="Normal"/>
    <w:link w:val="FootnoteTextChar"/>
    <w:uiPriority w:val="99"/>
    <w:semiHidden/>
    <w:unhideWhenUsed/>
    <w:rsid w:val="00337F64"/>
    <w:pPr>
      <w:spacing w:line="240" w:lineRule="auto"/>
    </w:pPr>
    <w:rPr>
      <w:sz w:val="20"/>
      <w:szCs w:val="20"/>
    </w:rPr>
  </w:style>
  <w:style w:type="character" w:customStyle="1" w:styleId="FootnoteTextChar">
    <w:name w:val="Footnote Text Char"/>
    <w:basedOn w:val="DefaultParagraphFont"/>
    <w:link w:val="FootnoteText"/>
    <w:uiPriority w:val="99"/>
    <w:semiHidden/>
    <w:rsid w:val="00337F64"/>
    <w:rPr>
      <w:rFonts w:ascii="Arial" w:eastAsia="Arial" w:hAnsi="Arial" w:cs="Arial"/>
      <w:sz w:val="20"/>
      <w:szCs w:val="20"/>
      <w:lang w:val="pt-BR"/>
    </w:rPr>
  </w:style>
  <w:style w:type="character" w:styleId="FootnoteReference">
    <w:name w:val="footnote reference"/>
    <w:basedOn w:val="DefaultParagraphFont"/>
    <w:uiPriority w:val="99"/>
    <w:semiHidden/>
    <w:unhideWhenUsed/>
    <w:rsid w:val="00337F64"/>
    <w:rPr>
      <w:vertAlign w:val="superscript"/>
    </w:rPr>
  </w:style>
  <w:style w:type="paragraph" w:styleId="ListParagraph">
    <w:name w:val="List Paragraph"/>
    <w:basedOn w:val="Normal"/>
    <w:uiPriority w:val="34"/>
    <w:qFormat/>
    <w:rsid w:val="00337F64"/>
    <w:pPr>
      <w:ind w:left="720"/>
      <w:contextualSpacing/>
    </w:pPr>
  </w:style>
  <w:style w:type="table" w:styleId="TableGrid">
    <w:name w:val="Table Grid"/>
    <w:basedOn w:val="TableNormal"/>
    <w:uiPriority w:val="39"/>
    <w:rsid w:val="0057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6C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C6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93351">
      <w:bodyDiv w:val="1"/>
      <w:marLeft w:val="0"/>
      <w:marRight w:val="0"/>
      <w:marTop w:val="0"/>
      <w:marBottom w:val="0"/>
      <w:divBdr>
        <w:top w:val="none" w:sz="0" w:space="0" w:color="auto"/>
        <w:left w:val="none" w:sz="0" w:space="0" w:color="auto"/>
        <w:bottom w:val="none" w:sz="0" w:space="0" w:color="auto"/>
        <w:right w:val="none" w:sz="0" w:space="0" w:color="auto"/>
      </w:divBdr>
      <w:divsChild>
        <w:div w:id="2022508007">
          <w:marLeft w:val="0"/>
          <w:marRight w:val="0"/>
          <w:marTop w:val="0"/>
          <w:marBottom w:val="0"/>
          <w:divBdr>
            <w:top w:val="none" w:sz="0" w:space="0" w:color="auto"/>
            <w:left w:val="none" w:sz="0" w:space="0" w:color="auto"/>
            <w:bottom w:val="none" w:sz="0" w:space="0" w:color="auto"/>
            <w:right w:val="none" w:sz="0" w:space="0" w:color="auto"/>
          </w:divBdr>
          <w:divsChild>
            <w:div w:id="1170557103">
              <w:marLeft w:val="0"/>
              <w:marRight w:val="0"/>
              <w:marTop w:val="0"/>
              <w:marBottom w:val="0"/>
              <w:divBdr>
                <w:top w:val="none" w:sz="0" w:space="0" w:color="auto"/>
                <w:left w:val="none" w:sz="0" w:space="0" w:color="auto"/>
                <w:bottom w:val="none" w:sz="0" w:space="0" w:color="auto"/>
                <w:right w:val="none" w:sz="0" w:space="0" w:color="auto"/>
              </w:divBdr>
              <w:divsChild>
                <w:div w:id="17859532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75673643">
          <w:marLeft w:val="0"/>
          <w:marRight w:val="0"/>
          <w:marTop w:val="0"/>
          <w:marBottom w:val="0"/>
          <w:divBdr>
            <w:top w:val="none" w:sz="0" w:space="0" w:color="auto"/>
            <w:left w:val="none" w:sz="0" w:space="0" w:color="auto"/>
            <w:bottom w:val="none" w:sz="0" w:space="0" w:color="auto"/>
            <w:right w:val="none" w:sz="0" w:space="0" w:color="auto"/>
          </w:divBdr>
          <w:divsChild>
            <w:div w:id="475998895">
              <w:marLeft w:val="0"/>
              <w:marRight w:val="0"/>
              <w:marTop w:val="0"/>
              <w:marBottom w:val="0"/>
              <w:divBdr>
                <w:top w:val="none" w:sz="0" w:space="0" w:color="auto"/>
                <w:left w:val="none" w:sz="0" w:space="0" w:color="auto"/>
                <w:bottom w:val="none" w:sz="0" w:space="0" w:color="auto"/>
                <w:right w:val="none" w:sz="0" w:space="0" w:color="auto"/>
              </w:divBdr>
              <w:divsChild>
                <w:div w:id="1946616075">
                  <w:marLeft w:val="480"/>
                  <w:marRight w:val="0"/>
                  <w:marTop w:val="0"/>
                  <w:marBottom w:val="0"/>
                  <w:divBdr>
                    <w:top w:val="none" w:sz="0" w:space="0" w:color="auto"/>
                    <w:left w:val="none" w:sz="0" w:space="0" w:color="auto"/>
                    <w:bottom w:val="none" w:sz="0" w:space="0" w:color="auto"/>
                    <w:right w:val="none" w:sz="0" w:space="0" w:color="auto"/>
                  </w:divBdr>
                  <w:divsChild>
                    <w:div w:id="21332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a.org/programmes/clean-energy-transitions-in-emerging-econom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amila.ferraz@epe.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hinyepe.brazilsouth.cloudapp.azure.com/inova-e-eng/" TargetMode="External"/><Relationship Id="rId1" Type="http://schemas.openxmlformats.org/officeDocument/2006/relationships/hyperlink" Target="https://www.iea.org/data-and-statistics/data-product/energy-technology-rd-and-d-budget-databas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Gramkow</dc:creator>
  <cp:keywords/>
  <dc:description/>
  <cp:lastModifiedBy>LEPRINCE Suzy, IEA/EXD/EDC/DET</cp:lastModifiedBy>
  <cp:revision>74</cp:revision>
  <dcterms:created xsi:type="dcterms:W3CDTF">2022-06-23T22:22:00Z</dcterms:created>
  <dcterms:modified xsi:type="dcterms:W3CDTF">2022-07-27T13:03:00Z</dcterms:modified>
</cp:coreProperties>
</file>